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3120"/>
        <w:gridCol w:w="3120"/>
        <w:gridCol w:w="3120"/>
      </w:tblGrid>
      <w:tr>
        <w:tc>
          <w:tcPr>
            <w:tcW w:type="dxa" w:w="4824"/>
            <w:tcMar>
              <w:top w:w="20" w:type="dxa"/>
              <w:bottom w:w="120" w:type="dxa"/>
              <w:start w:w="0" w:type="dxa"/>
              <w:end w:w="0" w:type="dxa"/>
            </w:tcMar>
            <w:vAlign w:val="center"/>
            <w:tcBorders>
              <w:bottom w:val="single" w:sz="6" w:space="0" w:color="D9D3C7"/>
            </w:tcBorders>
          </w:tcPr>
          <w:p>
            <w:pPr>
              <w:spacing w:after="40"/>
            </w:pPr>
            <w:r>
              <w:drawing>
                <wp:inline xmlns:a="http://schemas.openxmlformats.org/drawingml/2006/main" xmlns:pic="http://schemas.openxmlformats.org/drawingml/2006/picture">
                  <wp:extent cx="416929" cy="402336"/>
                  <wp:docPr id="1" name="Picture 1"/>
                  <wp:cNvGraphicFramePr>
                    <a:graphicFrameLocks noChangeAspect="1"/>
                  </wp:cNvGraphicFramePr>
                  <a:graphic>
                    <a:graphicData uri="http://schemas.openxmlformats.org/drawingml/2006/picture">
                      <pic:pic>
                        <pic:nvPicPr>
                          <pic:cNvPr id="0" name="cu.png"/>
                          <pic:cNvPicPr/>
                        </pic:nvPicPr>
                        <pic:blipFill>
                          <a:blip r:embed="rId9"/>
                          <a:stretch>
                            <a:fillRect/>
                          </a:stretch>
                        </pic:blipFill>
                        <pic:spPr>
                          <a:xfrm>
                            <a:off x="0" y="0"/>
                            <a:ext cx="416929" cy="402336"/>
                          </a:xfrm>
                          <a:prstGeom prst="rect"/>
                        </pic:spPr>
                      </pic:pic>
                    </a:graphicData>
                  </a:graphic>
                </wp:inline>
              </w:drawing>
            </w:r>
          </w:p>
          <w:p>
            <w:pPr>
              <w:spacing w:before="60" w:after="0" w:line="240" w:lineRule="auto"/>
            </w:pPr>
            <w:r>
              <w:rPr>
                <w:rFonts w:ascii="Calibri" w:hAnsi="Calibri" w:cs="Calibri"/>
                <w:b w:val="0"/>
                <w:i w:val="0"/>
                <w:color w:val="0A1822"/>
                <w:sz w:val="19"/>
              </w:rPr>
              <w:t>Mortenson Center</w:t>
            </w:r>
          </w:p>
          <w:p>
            <w:pPr>
              <w:spacing w:after="40" w:line="240" w:lineRule="auto"/>
            </w:pPr>
            <w:r>
              <w:rPr>
                <w:rFonts w:ascii="Calibri" w:hAnsi="Calibri" w:cs="Calibri"/>
                <w:b w:val="0"/>
                <w:i w:val="0"/>
                <w:color w:val="0A1822"/>
                <w:sz w:val="19"/>
              </w:rPr>
              <w:t>in Global Engineering &amp; Resilience</w:t>
            </w:r>
          </w:p>
          <w:p>
            <w:pPr>
              <w:spacing w:after="0" w:line="240" w:lineRule="auto"/>
            </w:pPr>
            <w:r>
              <w:rPr>
                <w:rFonts w:ascii="Calibri" w:hAnsi="Calibri" w:cs="Calibri"/>
                <w:b w:val="0"/>
                <w:i w:val="0"/>
                <w:color w:val="0A1822"/>
                <w:sz w:val="14"/>
                <w:spacing w:val="24"/>
              </w:rPr>
              <w:t xml:space="preserve">UNIVERSITY OF COLORADO </w:t>
            </w:r>
            <w:r>
              <w:rPr>
                <w:rFonts w:ascii="Calibri" w:hAnsi="Calibri" w:cs="Calibri"/>
                <w:b/>
                <w:i w:val="0"/>
                <w:color w:val="0A1822"/>
                <w:sz w:val="14"/>
                <w:spacing w:val="24"/>
              </w:rPr>
              <w:t>BOULDER</w:t>
            </w:r>
          </w:p>
        </w:tc>
        <w:tc>
          <w:tcPr>
            <w:tcW w:type="dxa" w:w="2376"/>
            <w:tcMar>
              <w:top w:w="20" w:type="dxa"/>
              <w:bottom w:w="120" w:type="dxa"/>
              <w:start w:w="0" w:type="dxa"/>
              <w:end w:w="0" w:type="dxa"/>
            </w:tcMar>
            <w:vAlign w:val="center"/>
            <w:tcBorders>
              <w:bottom w:val="single" w:sz="6" w:space="0" w:color="D9D3C7"/>
            </w:tcBorders>
          </w:tcPr>
          <w:p>
            <w:pPr>
              <w:jc w:val="center"/>
            </w:pPr>
            <w:r>
              <w:rPr>
                <w:rFonts w:ascii="Consolas" w:hAnsi="Consolas" w:cs="Consolas"/>
                <w:b w:val="0"/>
                <w:i w:val="0"/>
                <w:color w:val="54636E"/>
                <w:sz w:val="16"/>
                <w:spacing w:val="30"/>
              </w:rPr>
              <w:t>PARTNERSHIP FRAMEWORK</w:t>
              <w:br/>
              <w:t>· DRAFT MOU ·</w:t>
            </w:r>
          </w:p>
        </w:tc>
        <w:tc>
          <w:tcPr>
            <w:tcW w:type="dxa" w:w="2160"/>
            <w:tcMar>
              <w:top w:w="20" w:type="dxa"/>
              <w:bottom w:w="120" w:type="dxa"/>
              <w:start w:w="0" w:type="dxa"/>
              <w:end w:w="0" w:type="dxa"/>
            </w:tcMar>
            <w:vAlign w:val="center"/>
            <w:tcBorders>
              <w:bottom w:val="single" w:sz="6" w:space="0" w:color="D9D3C7"/>
            </w:tcBorders>
          </w:tcPr>
          <w:p>
            <w:pPr>
              <w:jc w:val="right"/>
            </w:pPr>
            <w:r>
              <w:drawing>
                <wp:inline xmlns:a="http://schemas.openxmlformats.org/drawingml/2006/main" xmlns:pic="http://schemas.openxmlformats.org/drawingml/2006/picture">
                  <wp:extent cx="901148" cy="310896"/>
                  <wp:docPr id="2" name="Picture 2"/>
                  <wp:cNvGraphicFramePr>
                    <a:graphicFrameLocks noChangeAspect="1"/>
                  </wp:cNvGraphicFramePr>
                  <a:graphic>
                    <a:graphicData uri="http://schemas.openxmlformats.org/drawingml/2006/picture">
                      <pic:pic>
                        <pic:nvPicPr>
                          <pic:cNvPr id="0" name="unu.png"/>
                          <pic:cNvPicPr/>
                        </pic:nvPicPr>
                        <pic:blipFill>
                          <a:blip r:embed="rId10"/>
                          <a:stretch>
                            <a:fillRect/>
                          </a:stretch>
                        </pic:blipFill>
                        <pic:spPr>
                          <a:xfrm>
                            <a:off x="0" y="0"/>
                            <a:ext cx="901148" cy="310896"/>
                          </a:xfrm>
                          <a:prstGeom prst="rect"/>
                        </pic:spPr>
                      </pic:pic>
                    </a:graphicData>
                  </a:graphic>
                </wp:inline>
              </w:drawing>
            </w:r>
          </w:p>
        </w:tc>
      </w:tr>
    </w:tbl>
    <w:p>
      <w:pPr>
        <w:spacing w:after="80" w:before="0"/>
      </w:pPr>
    </w:p>
    <w:p>
      <w:pPr>
        <w:spacing w:after="120" w:before="200"/>
      </w:pPr>
      <w:r>
        <w:rPr>
          <w:rFonts w:ascii="Consolas" w:hAnsi="Consolas" w:cs="Consolas"/>
          <w:b/>
          <w:i w:val="0"/>
          <w:color w:val="0B6FA8"/>
          <w:sz w:val="19"/>
          <w:spacing w:val="40"/>
        </w:rPr>
        <w:t>PARTNERSHIP FRAMEWORK · DRAFT FOR DISCUSSION</w:t>
      </w:r>
    </w:p>
    <w:p>
      <w:pPr>
        <w:spacing w:after="120" w:before="0"/>
      </w:pPr>
      <w:r>
        <w:rPr>
          <w:rFonts w:ascii="Georgia" w:hAnsi="Georgia" w:cs="Georgia"/>
          <w:b w:val="0"/>
          <w:i w:val="0"/>
          <w:color w:val="0A1822"/>
          <w:sz w:val="52"/>
        </w:rPr>
        <w:t>Mortenson Center &amp; UNU-INWEH Partnership Framework</w:t>
      </w:r>
    </w:p>
    <w:p>
      <w:pPr>
        <w:spacing w:after="160" w:before="0"/>
      </w:pPr>
      <w:r>
        <w:rPr>
          <w:rFonts w:ascii="Georgia" w:hAnsi="Georgia" w:cs="Georgia"/>
          <w:b w:val="0"/>
          <w:i/>
          <w:color w:val="A8884A"/>
          <w:sz w:val="27"/>
        </w:rPr>
        <w:t>A joint graduate program, research partnership, and practice partnership in water, environment, and health, sequenced toward a joint UNU Hub</w:t>
      </w:r>
    </w:p>
    <w:p>
      <w:pPr>
        <w:spacing w:after="120" w:before="0"/>
        <w:pBdr>
          <w:bottom w:val="single" w:sz="16" w:space="6" w:color="0A1822"/>
        </w:pBdr>
      </w:pPr>
      <w:r>
        <w:rPr>
          <w:rFonts w:ascii="Consolas" w:hAnsi="Consolas" w:cs="Consolas"/>
          <w:b w:val="0"/>
          <w:i w:val="0"/>
          <w:color w:val="54636E"/>
          <w:sz w:val="17"/>
        </w:rPr>
        <w:t>DRAFT MEMORANDUM OF UNDERSTANDING · JUNE 2026 · EDUCATION COMPONENT MODELED ON THE UNU-CCNY JOINT EDUCATION PROGRAMS · SUBJECT TO UNU APPROVAL</w:t>
      </w:r>
    </w:p>
    <w:p>
      <w:pPr>
        <w:spacing w:after="120" w:before="0"/>
      </w:pPr>
    </w:p>
    <w:p>
      <w:pPr>
        <w:spacing w:after="120" w:before="120"/>
      </w:pPr>
      <w:r>
        <w:rPr>
          <w:rFonts w:ascii="Consolas" w:hAnsi="Consolas" w:cs="Consolas"/>
          <w:b/>
          <w:i w:val="0"/>
          <w:color w:val="A8884A"/>
          <w:sz w:val="22"/>
        </w:rPr>
        <w:t xml:space="preserve">1   </w:t>
      </w:r>
      <w:r>
        <w:rPr>
          <w:rFonts w:ascii="Georgia" w:hAnsi="Georgia" w:cs="Georgia"/>
          <w:b w:val="0"/>
          <w:i w:val="0"/>
          <w:color w:val="0A1822"/>
          <w:sz w:val="34"/>
        </w:rPr>
        <w:t>Purpose and Shared Mandate</w:t>
      </w:r>
    </w:p>
    <w:p>
      <w:pPr>
        <w:spacing w:after="180" w:before="0"/>
      </w:pPr>
      <w:r>
        <w:rPr>
          <w:rFonts w:ascii="Calibri" w:hAnsi="Calibri" w:cs="Calibri"/>
          <w:b w:val="0"/>
          <w:i w:val="0"/>
          <w:color w:val="1C2932"/>
          <w:sz w:val="23"/>
        </w:rPr>
        <w:t>The University of Colorado Boulder, through the Mortenson Center in Global Engineering and Resilience, and the United Nations University Institute for Water, Environment and Health (UNU-INWEH) propose a partnership in accountable water, environment, and health. Both institutes share the same three-domain mandate, and this memorandum sets out a jointly developed collaboration in three parts, sequenced toward a shared destination: a joint UNU Hub.</w:t>
      </w:r>
    </w:p>
    <w:p>
      <w:pPr>
        <w:spacing w:after="180" w:before="0"/>
      </w:pPr>
      <w:r>
        <w:rPr>
          <w:rFonts w:ascii="Calibri" w:hAnsi="Calibri" w:cs="Calibri"/>
          <w:b w:val="0"/>
          <w:i w:val="0"/>
          <w:color w:val="26333C"/>
          <w:sz w:val="21"/>
        </w:rPr>
        <w:t>The two institutes bring complementary halves of one chain of custody for evidence. The Mortenson Center contributes field-grade measurement, an operational evidence base, and outcomes-based finance at scale. UNU-INWEH contributes UN-Water positioning, policy bridging, member-state convening, and global capacity-building. The partnership pairs these strengths so that engineering measurement connects to real-world accountability and finance, and does so through channels the UN system can stand behind. The partners intend to:</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Credential the next generation of engineers through a joint graduate program that connects measurement to accountability and finance;</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Build a shared, UN-aligned evidence base for water, environment, and health, anchored on an open dataset and a co-branded annual flagship report;</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Use a live operational base of environmental-health programs as a testbed, and translate its operating models into executive education and capacity-building for member states;</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Sequence these collaborations so that early, low-friction wins build toward a formalized joint UNU Hub.</w:t>
      </w:r>
    </w:p>
    <w:p>
      <w:pPr>
        <w:spacing w:after="120" w:before="280"/>
      </w:pPr>
      <w:r>
        <w:rPr>
          <w:rFonts w:ascii="Consolas" w:hAnsi="Consolas" w:cs="Consolas"/>
          <w:b/>
          <w:i w:val="0"/>
          <w:color w:val="A8884A"/>
          <w:sz w:val="22"/>
        </w:rPr>
        <w:t xml:space="preserve">2   </w:t>
      </w:r>
      <w:r>
        <w:rPr>
          <w:rFonts w:ascii="Georgia" w:hAnsi="Georgia" w:cs="Georgia"/>
          <w:b w:val="0"/>
          <w:i w:val="0"/>
          <w:color w:val="0A1822"/>
          <w:sz w:val="34"/>
        </w:rPr>
        <w:t>Structure of the Partnership</w:t>
      </w:r>
    </w:p>
    <w:p>
      <w:pPr>
        <w:spacing w:after="180" w:before="0"/>
      </w:pPr>
      <w:r>
        <w:rPr>
          <w:rFonts w:ascii="Calibri" w:hAnsi="Calibri" w:cs="Calibri"/>
          <w:b w:val="0"/>
          <w:i w:val="0"/>
          <w:color w:val="26333C"/>
          <w:sz w:val="21"/>
        </w:rPr>
        <w:t>The partnership comprises three parts and one destination. Each part is described in the sections that follow; the full requirements of the joint graduate program are set out in Annex A.</w:t>
      </w:r>
    </w:p>
    <w:tbl>
      <w:tblPr>
        <w:tblW w:type="auto" w:w="0"/>
        <w:tblLayout w:type="fixed"/>
        <w:tblLook w:firstColumn="1" w:firstRow="1" w:lastColumn="0" w:lastRow="0" w:noHBand="0" w:noVBand="1" w:val="04A0"/>
        <w:tblBorders>
          <w:top w:val="single" w:sz="6" w:space="0" w:color="D9D3C7"/>
          <w:left w:val="single" w:sz="6" w:space="0" w:color="D9D3C7"/>
          <w:bottom w:val="single" w:sz="6" w:space="0" w:color="D9D3C7"/>
          <w:right w:val="single" w:sz="6" w:space="0" w:color="D9D3C7"/>
          <w:insideH w:val="single" w:sz="6" w:space="0" w:color="D9D3C7"/>
          <w:insideV w:val="single" w:sz="6" w:space="0" w:color="D9D3C7"/>
        </w:tblBorders>
        <w:tblLayout w:type="fixed"/>
      </w:tblPr>
      <w:tblGrid>
        <w:gridCol w:w="4680"/>
        <w:gridCol w:w="4680"/>
      </w:tblGrid>
      <w:tr>
        <w:tc>
          <w:tcPr>
            <w:tcW w:type="dxa" w:w="1512"/>
            <w:shd w:val="clear" w:color="auto" w:fill="15234A"/>
            <w:tcMar>
              <w:top w:w="80" w:type="dxa"/>
              <w:bottom w:w="80" w:type="dxa"/>
              <w:start w:w="90" w:type="dxa"/>
              <w:end w:w="90" w:type="dxa"/>
            </w:tcMar>
            <w:vAlign w:val="center"/>
          </w:tcPr>
          <w:p>
            <w:pPr>
              <w:spacing w:after="0"/>
            </w:pPr>
            <w:r>
              <w:rPr>
                <w:rFonts w:ascii="Consolas" w:hAnsi="Consolas" w:cs="Consolas"/>
                <w:b/>
                <w:i w:val="0"/>
                <w:color w:val="EAF6FC"/>
                <w:sz w:val="17"/>
                <w:spacing w:val="20"/>
              </w:rPr>
              <w:t>PART I</w:t>
            </w:r>
          </w:p>
        </w:tc>
        <w:tc>
          <w:tcPr>
            <w:tcW w:type="dxa" w:w="7848"/>
            <w:tcMar>
              <w:top w:w="80" w:type="dxa"/>
              <w:bottom w:w="80" w:type="dxa"/>
              <w:start w:w="120" w:type="dxa"/>
              <w:end w:w="120" w:type="dxa"/>
            </w:tcMar>
          </w:tcPr>
          <w:p>
            <w:pPr>
              <w:spacing w:after="60"/>
            </w:pPr>
            <w:r>
              <w:rPr>
                <w:rFonts w:ascii="Georgia" w:hAnsi="Georgia" w:cs="Georgia"/>
                <w:b w:val="0"/>
                <w:i w:val="0"/>
                <w:color w:val="0A1822"/>
                <w:sz w:val="26"/>
              </w:rPr>
              <w:t>Joint graduate program</w:t>
            </w:r>
          </w:p>
          <w:p>
            <w:pPr>
              <w:spacing w:after="0" w:line="288" w:lineRule="auto"/>
            </w:pPr>
            <w:r>
              <w:rPr>
                <w:rFonts w:ascii="Calibri" w:hAnsi="Calibri" w:cs="Calibri"/>
                <w:b w:val="0"/>
                <w:i w:val="0"/>
                <w:color w:val="3A4751"/>
                <w:sz w:val="20"/>
              </w:rPr>
              <w:t>A joint graduate credential in which students earn their CU Boulder degree and a UNU diploma through a small set of joint additions, modeled on the UNU-CCNY joint education programs. Detailed in Annex A.</w:t>
            </w:r>
          </w:p>
        </w:tc>
      </w:tr>
      <w:tr>
        <w:tc>
          <w:tcPr>
            <w:tcW w:type="dxa" w:w="1512"/>
            <w:shd w:val="clear" w:color="auto" w:fill="15234A"/>
            <w:tcMar>
              <w:top w:w="80" w:type="dxa"/>
              <w:bottom w:w="80" w:type="dxa"/>
              <w:start w:w="90" w:type="dxa"/>
              <w:end w:w="90" w:type="dxa"/>
            </w:tcMar>
            <w:vAlign w:val="center"/>
          </w:tcPr>
          <w:p>
            <w:pPr>
              <w:spacing w:after="0"/>
            </w:pPr>
            <w:r>
              <w:rPr>
                <w:rFonts w:ascii="Consolas" w:hAnsi="Consolas" w:cs="Consolas"/>
                <w:b/>
                <w:i w:val="0"/>
                <w:color w:val="EAF6FC"/>
                <w:sz w:val="17"/>
                <w:spacing w:val="20"/>
              </w:rPr>
              <w:t>PART II</w:t>
            </w:r>
          </w:p>
        </w:tc>
        <w:tc>
          <w:tcPr>
            <w:tcW w:type="dxa" w:w="7848"/>
            <w:tcMar>
              <w:top w:w="80" w:type="dxa"/>
              <w:bottom w:w="80" w:type="dxa"/>
              <w:start w:w="120" w:type="dxa"/>
              <w:end w:w="120" w:type="dxa"/>
            </w:tcMar>
          </w:tcPr>
          <w:p>
            <w:pPr>
              <w:spacing w:after="60"/>
            </w:pPr>
            <w:r>
              <w:rPr>
                <w:rFonts w:ascii="Georgia" w:hAnsi="Georgia" w:cs="Georgia"/>
                <w:b w:val="0"/>
                <w:i w:val="0"/>
                <w:color w:val="0A1822"/>
                <w:sz w:val="26"/>
              </w:rPr>
              <w:t>Research partnership</w:t>
            </w:r>
          </w:p>
          <w:p>
            <w:pPr>
              <w:spacing w:after="0" w:line="288" w:lineRule="auto"/>
            </w:pPr>
            <w:r>
              <w:rPr>
                <w:rFonts w:ascii="Calibri" w:hAnsi="Calibri" w:cs="Calibri"/>
                <w:b w:val="0"/>
                <w:i w:val="0"/>
                <w:color w:val="3A4751"/>
                <w:sz w:val="20"/>
              </w:rPr>
              <w:t>Co-hosting a UN-aligned open-data product and a co-branded annual flagship report, joint authorship on the evidence base for sensor-verified outcomes-based finance, a specialized Online Learning Centre course, and co-developed proposals.</w:t>
            </w:r>
          </w:p>
        </w:tc>
      </w:tr>
      <w:tr>
        <w:tc>
          <w:tcPr>
            <w:tcW w:type="dxa" w:w="1512"/>
            <w:shd w:val="clear" w:color="auto" w:fill="15234A"/>
            <w:tcMar>
              <w:top w:w="80" w:type="dxa"/>
              <w:bottom w:w="80" w:type="dxa"/>
              <w:start w:w="90" w:type="dxa"/>
              <w:end w:w="90" w:type="dxa"/>
            </w:tcMar>
            <w:vAlign w:val="center"/>
          </w:tcPr>
          <w:p>
            <w:pPr>
              <w:spacing w:after="0"/>
            </w:pPr>
            <w:r>
              <w:rPr>
                <w:rFonts w:ascii="Consolas" w:hAnsi="Consolas" w:cs="Consolas"/>
                <w:b/>
                <w:i w:val="0"/>
                <w:color w:val="EAF6FC"/>
                <w:sz w:val="17"/>
                <w:spacing w:val="20"/>
              </w:rPr>
              <w:t>PART III</w:t>
            </w:r>
          </w:p>
        </w:tc>
        <w:tc>
          <w:tcPr>
            <w:tcW w:type="dxa" w:w="7848"/>
            <w:tcMar>
              <w:top w:w="80" w:type="dxa"/>
              <w:bottom w:w="80" w:type="dxa"/>
              <w:start w:w="120" w:type="dxa"/>
              <w:end w:w="120" w:type="dxa"/>
            </w:tcMar>
          </w:tcPr>
          <w:p>
            <w:pPr>
              <w:spacing w:after="60"/>
            </w:pPr>
            <w:r>
              <w:rPr>
                <w:rFonts w:ascii="Georgia" w:hAnsi="Georgia" w:cs="Georgia"/>
                <w:b w:val="0"/>
                <w:i w:val="0"/>
                <w:color w:val="0A1822"/>
                <w:sz w:val="26"/>
              </w:rPr>
              <w:t>Practice partnership</w:t>
            </w:r>
          </w:p>
          <w:p>
            <w:pPr>
              <w:spacing w:after="0" w:line="288" w:lineRule="auto"/>
            </w:pPr>
            <w:r>
              <w:rPr>
                <w:rFonts w:ascii="Calibri" w:hAnsi="Calibri" w:cs="Calibri"/>
                <w:b w:val="0"/>
                <w:i w:val="0"/>
                <w:color w:val="3A4751"/>
                <w:sz w:val="20"/>
              </w:rPr>
              <w:t>A live operational base of environmental-health programs across sub-Saharan Africa as the testbed, with executive education and capacity-building for member states.</w:t>
            </w:r>
          </w:p>
        </w:tc>
      </w:tr>
      <w:tr>
        <w:tc>
          <w:tcPr>
            <w:tcW w:type="dxa" w:w="1512"/>
            <w:shd w:val="clear" w:color="auto" w:fill="CFB87C"/>
            <w:tcMar>
              <w:top w:w="80" w:type="dxa"/>
              <w:bottom w:w="80" w:type="dxa"/>
              <w:start w:w="90" w:type="dxa"/>
              <w:end w:w="90" w:type="dxa"/>
            </w:tcMar>
            <w:vAlign w:val="center"/>
          </w:tcPr>
          <w:p>
            <w:pPr>
              <w:spacing w:after="0"/>
            </w:pPr>
            <w:r>
              <w:rPr>
                <w:rFonts w:ascii="Consolas" w:hAnsi="Consolas" w:cs="Consolas"/>
                <w:b/>
                <w:i w:val="0"/>
                <w:color w:val="3A2F12"/>
                <w:sz w:val="17"/>
                <w:spacing w:val="20"/>
              </w:rPr>
              <w:t>DESTINATION</w:t>
            </w:r>
          </w:p>
        </w:tc>
        <w:tc>
          <w:tcPr>
            <w:tcW w:type="dxa" w:w="7848"/>
            <w:tcMar>
              <w:top w:w="80" w:type="dxa"/>
              <w:bottom w:w="80" w:type="dxa"/>
              <w:start w:w="120" w:type="dxa"/>
              <w:end w:w="120" w:type="dxa"/>
            </w:tcMar>
          </w:tcPr>
          <w:p>
            <w:pPr>
              <w:spacing w:after="60"/>
            </w:pPr>
            <w:r>
              <w:rPr>
                <w:rFonts w:ascii="Georgia" w:hAnsi="Georgia" w:cs="Georgia"/>
                <w:b w:val="0"/>
                <w:i w:val="0"/>
                <w:color w:val="0A1822"/>
                <w:sz w:val="26"/>
              </w:rPr>
              <w:t>A joint UNU Hub</w:t>
            </w:r>
          </w:p>
          <w:p>
            <w:pPr>
              <w:spacing w:after="0" w:line="288" w:lineRule="auto"/>
            </w:pPr>
            <w:r>
              <w:rPr>
                <w:rFonts w:ascii="Calibri" w:hAnsi="Calibri" w:cs="Calibri"/>
                <w:b w:val="0"/>
                <w:i w:val="0"/>
                <w:color w:val="3A4751"/>
                <w:sz w:val="20"/>
              </w:rPr>
              <w:t>Formalizing a joint UNU Hub on accountable water, environment, and health, differentiated from the existing UNU-INWEH Hubs by methodological focus (measurement-to-finance) rather than geography.</w:t>
            </w:r>
          </w:p>
        </w:tc>
      </w:tr>
    </w:tbl>
    <w:p>
      <w:pPr>
        <w:spacing w:after="80" w:before="0"/>
      </w:pPr>
    </w:p>
    <w:p>
      <w:pPr>
        <w:spacing w:after="120" w:before="280"/>
      </w:pPr>
      <w:r>
        <w:rPr>
          <w:rFonts w:ascii="Consolas" w:hAnsi="Consolas" w:cs="Consolas"/>
          <w:b/>
          <w:i w:val="0"/>
          <w:color w:val="A8884A"/>
          <w:sz w:val="22"/>
        </w:rPr>
        <w:t xml:space="preserve">3   </w:t>
      </w:r>
      <w:r>
        <w:rPr>
          <w:rFonts w:ascii="Georgia" w:hAnsi="Georgia" w:cs="Georgia"/>
          <w:b w:val="0"/>
          <w:i w:val="0"/>
          <w:color w:val="0A1822"/>
          <w:sz w:val="34"/>
        </w:rPr>
        <w:t>Part I · Joint Graduate Program</w:t>
      </w:r>
    </w:p>
    <w:p>
      <w:pPr>
        <w:spacing w:after="180" w:before="0"/>
      </w:pPr>
      <w:r>
        <w:rPr>
          <w:rFonts w:ascii="Calibri" w:hAnsi="Calibri" w:cs="Calibri"/>
          <w:b w:val="0"/>
          <w:i w:val="0"/>
          <w:color w:val="26333C"/>
          <w:sz w:val="21"/>
        </w:rPr>
        <w:t>The first part is a joint graduate credential. Like the UNU-CCNY joint programs, students complete their existing CU Boulder degree, the Professional MS in Global Resilience &amp; Sustainability Engineering or the Professional MS in Environmental Engineering (PhD tracks in Civil, Environmental &amp; Architectural Engineering and in Aerospace are also eligible), while earning a UNU diploma through a small set of joint additions. The Mortenson Center already runs the building blocks, a Graduate Certificate in Global Engineering (12 credits, of which 9 transfer into the MS) and a field Practicum across 80+ partner programs, so the UNU layer adds global credentialing rather than a parallel degree.</w:t>
      </w:r>
    </w:p>
    <w:p>
      <w:pPr>
        <w:spacing w:after="180" w:before="0"/>
      </w:pPr>
      <w:r>
        <w:rPr>
          <w:rFonts w:ascii="Calibri" w:hAnsi="Calibri" w:cs="Calibri"/>
          <w:b w:val="0"/>
          <w:i w:val="0"/>
          <w:color w:val="26333C"/>
          <w:sz w:val="21"/>
        </w:rPr>
        <w:t>The joint additions include a UNU seminar series co-hosted by both institutes, co-supervision by at least one UNU or UN-system expert, research aligned to accountable water, environment, and health, an internship fulfilled at UNU-INWEH or a UN agency, and a UNU diploma in Monitoring, Accountability &amp; Outcomes-Based Finance for Water, Environment &amp; Health. The complete requirements table, course-level mapping, implementation timeline, and student benefits are set out in Annex A.</w:t>
      </w:r>
    </w:p>
    <w:tbl>
      <w:tblPr>
        <w:tblW w:type="auto" w:w="0"/>
        <w:tblLayout w:type="fixed"/>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9360"/>
      </w:tblGrid>
      <w:tr>
        <w:tc>
          <w:tcPr>
            <w:tcW w:type="dxa" w:w="9360"/>
            <w:shd w:val="clear" w:color="auto" w:fill="EAF6FC"/>
            <w:tcMar>
              <w:top w:w="90" w:type="dxa"/>
              <w:bottom w:w="90" w:type="dxa"/>
              <w:start w:w="140" w:type="dxa"/>
              <w:end w:w="120" w:type="dxa"/>
            </w:tcMar>
            <w:tcBorders>
              <w:left w:val="single" w:sz="22" w:space="0" w:color="1AA3DA"/>
            </w:tcBorders>
          </w:tcPr>
          <w:p>
            <w:pPr>
              <w:spacing w:after="0"/>
            </w:pPr>
            <w:r>
              <w:rPr>
                <w:rFonts w:ascii="Calibri" w:hAnsi="Calibri" w:cs="Calibri"/>
                <w:b w:val="0"/>
                <w:i w:val="0"/>
                <w:color w:val="27343D"/>
                <w:sz w:val="21"/>
              </w:rPr>
              <w:t>Students in the joint program draw their applied components, internships, and theses from the research and practice base described in Parts II and III, so the three parts reinforce one another rather than standing alone.</w:t>
            </w:r>
          </w:p>
        </w:tc>
      </w:tr>
    </w:tbl>
    <w:p>
      <w:pPr>
        <w:spacing w:after="80" w:before="0"/>
      </w:pPr>
    </w:p>
    <w:p>
      <w:pPr>
        <w:spacing w:after="120" w:before="280"/>
      </w:pPr>
      <w:r>
        <w:rPr>
          <w:rFonts w:ascii="Consolas" w:hAnsi="Consolas" w:cs="Consolas"/>
          <w:b/>
          <w:i w:val="0"/>
          <w:color w:val="A8884A"/>
          <w:sz w:val="22"/>
        </w:rPr>
        <w:t xml:space="preserve">4   </w:t>
      </w:r>
      <w:r>
        <w:rPr>
          <w:rFonts w:ascii="Georgia" w:hAnsi="Georgia" w:cs="Georgia"/>
          <w:b w:val="0"/>
          <w:i w:val="0"/>
          <w:color w:val="0A1822"/>
          <w:sz w:val="34"/>
        </w:rPr>
        <w:t>Part II · Research Partnership</w:t>
      </w:r>
    </w:p>
    <w:p>
      <w:pPr>
        <w:spacing w:after="180" w:before="0"/>
      </w:pPr>
      <w:r>
        <w:rPr>
          <w:rFonts w:ascii="Calibri" w:hAnsi="Calibri" w:cs="Calibri"/>
          <w:b w:val="0"/>
          <w:i w:val="0"/>
          <w:color w:val="26333C"/>
          <w:sz w:val="21"/>
        </w:rPr>
        <w:t>The research partnership pairs the Mortenson Center's data infrastructure and operational evidence with UNU-INWEH's UN-Water positioning and convening. It anchors on the largest open microbial water-quality dataset as the first flagship and extends across environmental health. The partners intend to pursue four deliverables:</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Co-hosted open-data product. </w:t>
      </w:r>
      <w:r>
        <w:rPr>
          <w:rFonts w:ascii="Calibri" w:hAnsi="Calibri" w:cs="Calibri"/>
          <w:b w:val="0"/>
          <w:i w:val="0"/>
          <w:color w:val="26333C"/>
          <w:sz w:val="21"/>
        </w:rPr>
        <w:t>Co-host the global microbial water-quality dataset (10M+ E. coli observations across roughly 180,000 monitored sites, drawn from seven harmonized international sources) as a UN-aligned open-data product. UNU-INWEH provides UN-Water positioning and member-state convening; the Mortenson Center provides data infrastructure and curation.</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Co-branded flagship report. </w:t>
      </w:r>
      <w:r>
        <w:rPr>
          <w:rFonts w:ascii="Calibri" w:hAnsi="Calibri" w:cs="Calibri"/>
          <w:b w:val="0"/>
          <w:i w:val="0"/>
          <w:color w:val="26333C"/>
          <w:sz w:val="21"/>
        </w:rPr>
        <w:t>Publish a recurring annual reference report, The State of Microbial Water Quality, with environment and health indicators to follow in subsequent editions.</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Joint authorship on the evidence base. </w:t>
      </w:r>
      <w:r>
        <w:rPr>
          <w:rFonts w:ascii="Calibri" w:hAnsi="Calibri" w:cs="Calibri"/>
          <w:b w:val="0"/>
          <w:i w:val="0"/>
          <w:color w:val="26333C"/>
          <w:sz w:val="21"/>
        </w:rPr>
        <w:t>Co-author the operational, peer-reviewed evidence base for sensor-verified outcomes-based finance across water, environment, and health, drawing on the partners' field programs and the dataset to build a citable foundation the UN system can reference.</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Specialized course and co-developed proposals. </w:t>
      </w:r>
      <w:r>
        <w:rPr>
          <w:rFonts w:ascii="Calibri" w:hAnsi="Calibri" w:cs="Calibri"/>
          <w:b w:val="0"/>
          <w:i w:val="0"/>
          <w:color w:val="26333C"/>
          <w:sz w:val="21"/>
        </w:rPr>
        <w:t>Develop a specialized course for the UNU-INWEH Online Learning Centre on in-situ environmental sensing and digital measurement-reporting-verification (dMRV), and co-develop new project and program proposals, including alignment to emerging UNU initiatives such as the Sustainability Transitions Accelerator.</w:t>
      </w:r>
    </w:p>
    <w:p>
      <w:pPr>
        <w:spacing w:after="160" w:before="0"/>
      </w:pPr>
      <w:r>
        <w:rPr>
          <w:rFonts w:ascii="Calibri" w:hAnsi="Calibri" w:cs="Calibri"/>
          <w:b w:val="0"/>
          <w:i w:val="0"/>
          <w:color w:val="54636E"/>
          <w:sz w:val="19"/>
        </w:rPr>
        <w:t>The dataset and its infrastructure are supported in part by a $5M NSF Convergence Accelerator Phase 2 award to the Mortenson Center.</w:t>
      </w:r>
    </w:p>
    <w:p>
      <w:pPr>
        <w:spacing w:after="120" w:before="280"/>
      </w:pPr>
      <w:r>
        <w:rPr>
          <w:rFonts w:ascii="Consolas" w:hAnsi="Consolas" w:cs="Consolas"/>
          <w:b/>
          <w:i w:val="0"/>
          <w:color w:val="A8884A"/>
          <w:sz w:val="22"/>
        </w:rPr>
        <w:t xml:space="preserve">5   </w:t>
      </w:r>
      <w:r>
        <w:rPr>
          <w:rFonts w:ascii="Georgia" w:hAnsi="Georgia" w:cs="Georgia"/>
          <w:b w:val="0"/>
          <w:i w:val="0"/>
          <w:color w:val="0A1822"/>
          <w:sz w:val="34"/>
        </w:rPr>
        <w:t>Part III · Practice Partnership</w:t>
      </w:r>
    </w:p>
    <w:p>
      <w:pPr>
        <w:spacing w:after="180" w:before="0"/>
      </w:pPr>
      <w:r>
        <w:rPr>
          <w:rFonts w:ascii="Calibri" w:hAnsi="Calibri" w:cs="Calibri"/>
          <w:b w:val="0"/>
          <w:i w:val="0"/>
          <w:color w:val="26333C"/>
          <w:sz w:val="21"/>
        </w:rPr>
        <w:t>The practice partnership draws on the Mortenson Center's “Clean Water for Millions” flagship: seven carbon-financed safe-water programs across sub-Saharan Africa, targeting 5 million people and 3 million carbon credits by 2030, delivered with a coalition of implementing partners including the Millennium Water Alliance, LifeStraw, Helvetas, Asili, and Water Mission. Alongside safe water, the programs reach into household energy, air quality, and child health, providing the real-world ground where sensor-verified outcomes-based finance is already in production. UNU-INWEH connects this practice to member-state policy, executive education, and capacity-building.</w:t>
      </w:r>
    </w:p>
    <w:p>
      <w:pPr>
        <w:spacing w:after="180" w:before="0"/>
      </w:pPr>
      <w:r>
        <w:rPr>
          <w:rFonts w:ascii="Calibri" w:hAnsi="Calibri" w:cs="Calibri"/>
          <w:b w:val="0"/>
          <w:i w:val="0"/>
          <w:color w:val="26333C"/>
          <w:sz w:val="21"/>
        </w:rPr>
        <w:t>The practice base is anchored in a decade-plus, peer-reviewed cluster-randomized-trial record spanning all three domains. The Tubeho Neza programme, a cluster-randomized trial of carbon-credit-financed water filters and improved cookstoves across roughly 101,000 households in Western Province, Rwanda (published in The Lancet Planetary Health, with companion papers in Environmental Science &amp; Technology, npj Clean Water, and Nature), documented a 29% reduction in childhood diarrhoea, a 25% reduction in acute respiratory infections, and roughly a 97% reduction in fecal E. coli in stored household water, with replicated impact after integration into Rwanda's national Community-Based Environmental Health Promotion Programme.</w:t>
      </w:r>
    </w:p>
    <w:p>
      <w:pPr>
        <w:spacing w:after="180" w:before="0"/>
      </w:pPr>
      <w:r>
        <w:rPr>
          <w:rFonts w:ascii="Calibri" w:hAnsi="Calibri" w:cs="Calibri"/>
          <w:b w:val="0"/>
          <w:i w:val="0"/>
          <w:color w:val="26333C"/>
          <w:sz w:val="21"/>
        </w:rPr>
        <w:t>Under this partnership, executive-education workshops would turn these operating models into a transferable practice for ministries, utilities, and implementers, and students in the joint program would draw internships and applied theses from the operational base.</w:t>
      </w:r>
    </w:p>
    <w:p>
      <w:pPr>
        <w:spacing w:after="120" w:before="280"/>
      </w:pPr>
      <w:r>
        <w:rPr>
          <w:rFonts w:ascii="Consolas" w:hAnsi="Consolas" w:cs="Consolas"/>
          <w:b/>
          <w:i w:val="0"/>
          <w:color w:val="A8884A"/>
          <w:sz w:val="22"/>
        </w:rPr>
        <w:t xml:space="preserve">6   </w:t>
      </w:r>
      <w:r>
        <w:rPr>
          <w:rFonts w:ascii="Georgia" w:hAnsi="Georgia" w:cs="Georgia"/>
          <w:b w:val="0"/>
          <w:i w:val="0"/>
          <w:color w:val="0A1822"/>
          <w:sz w:val="34"/>
        </w:rPr>
        <w:t>Contributions of the Parties</w:t>
      </w:r>
    </w:p>
    <w:p>
      <w:pPr>
        <w:spacing w:after="180" w:before="0"/>
      </w:pPr>
      <w:r>
        <w:rPr>
          <w:rFonts w:ascii="Calibri" w:hAnsi="Calibri" w:cs="Calibri"/>
          <w:b w:val="0"/>
          <w:i w:val="0"/>
          <w:color w:val="26333C"/>
          <w:sz w:val="21"/>
        </w:rPr>
        <w:t>The partnership joins two complementary halves of one chain of custody for evidence.</w:t>
      </w:r>
    </w:p>
    <w:tbl>
      <w:tblPr>
        <w:tblW w:type="auto" w:w="0"/>
        <w:tblLayout w:type="fixed"/>
        <w:tblLook w:firstColumn="1" w:firstRow="1" w:lastColumn="0" w:lastRow="0" w:noHBand="0" w:noVBand="1" w:val="04A0"/>
        <w:tblBorders>
          <w:top w:val="single" w:sz="6" w:space="0" w:color="D9D3C7"/>
          <w:left w:val="single" w:sz="6" w:space="0" w:color="D9D3C7"/>
          <w:bottom w:val="single" w:sz="6" w:space="0" w:color="D9D3C7"/>
          <w:right w:val="single" w:sz="6" w:space="0" w:color="D9D3C7"/>
          <w:insideH w:val="single" w:sz="6" w:space="0" w:color="D9D3C7"/>
          <w:insideV w:val="single" w:sz="6" w:space="0" w:color="D9D3C7"/>
        </w:tblBorders>
        <w:tblLayout w:type="fixed"/>
      </w:tblPr>
      <w:tblGrid>
        <w:gridCol w:w="4680"/>
        <w:gridCol w:w="4680"/>
      </w:tblGrid>
      <w:tr>
        <w:tc>
          <w:tcPr>
            <w:tcW w:type="dxa" w:w="4680"/>
            <w:shd w:val="clear" w:color="auto" w:fill="CFB87C"/>
            <w:tcMar>
              <w:top w:w="70" w:type="dxa"/>
              <w:bottom w:w="70" w:type="dxa"/>
              <w:start w:w="120" w:type="dxa"/>
              <w:end w:w="120" w:type="dxa"/>
            </w:tcMar>
          </w:tcPr>
          <w:p>
            <w:r>
              <w:rPr>
                <w:rFonts w:ascii="Consolas" w:hAnsi="Consolas" w:cs="Consolas"/>
                <w:b/>
                <w:i w:val="0"/>
                <w:color w:val="3A2F12"/>
                <w:sz w:val="18"/>
                <w:spacing w:val="16"/>
              </w:rPr>
              <w:t>MORTENSON CENTER · CU BOULDER</w:t>
            </w:r>
          </w:p>
        </w:tc>
        <w:tc>
          <w:tcPr>
            <w:tcW w:type="dxa" w:w="4680"/>
            <w:shd w:val="clear" w:color="auto" w:fill="15234A"/>
            <w:tcMar>
              <w:top w:w="70" w:type="dxa"/>
              <w:bottom w:w="70" w:type="dxa"/>
              <w:start w:w="120" w:type="dxa"/>
              <w:end w:w="120" w:type="dxa"/>
            </w:tcMar>
          </w:tcPr>
          <w:p>
            <w:r>
              <w:rPr>
                <w:rFonts w:ascii="Consolas" w:hAnsi="Consolas" w:cs="Consolas"/>
                <w:b/>
                <w:i w:val="0"/>
                <w:color w:val="EAF6FC"/>
                <w:sz w:val="18"/>
                <w:spacing w:val="16"/>
              </w:rPr>
              <w:t>UNU-INWEH · UNITED NATIONS UNIVERSITY</w:t>
            </w:r>
          </w:p>
        </w:tc>
      </w:tr>
      <w:tr>
        <w:tc>
          <w:tcPr>
            <w:tcW w:type="dxa" w:w="4680"/>
            <w:tcMar>
              <w:top w:w="90" w:type="dxa"/>
              <w:bottom w:w="90" w:type="dxa"/>
              <w:start w:w="120" w:type="dxa"/>
              <w:end w:w="120" w:type="dxa"/>
            </w:tcMar>
          </w:tcPr>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The largest open microbial water-quality dataset known: 10M+ E. coli observations across roughly 180,000 sites and seven harmonized sources.</w:t>
            </w:r>
          </w:p>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A decade-plus, peer-reviewed cluster-RCT evidence base across water, environment, and health.</w:t>
            </w:r>
          </w:p>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Sensor-based in-situ environmental monitoring and dMRV infrastructure for ground-truth measurement.</w:t>
            </w:r>
          </w:p>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Operating models for outcomes-based and carbon-financed programs at scale across 30+ countries.</w:t>
            </w:r>
          </w:p>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A graduate program, certificate, and 80+ partner Practicum network to host the joint credential.</w:t>
            </w:r>
          </w:p>
        </w:tc>
        <w:tc>
          <w:tcPr>
            <w:tcW w:type="dxa" w:w="4680"/>
            <w:tcMar>
              <w:top w:w="90" w:type="dxa"/>
              <w:bottom w:w="90" w:type="dxa"/>
              <w:start w:w="120" w:type="dxa"/>
              <w:end w:w="120" w:type="dxa"/>
            </w:tcMar>
          </w:tcPr>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UN-Water positioning and the standing to convene member states around a shared evidence base.</w:t>
            </w:r>
          </w:p>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Earth observation and remote-sensing capability that complements in-situ sensing.</w:t>
            </w:r>
          </w:p>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An established research-to-policy bridge, with flagship-report and policy-brief channels.</w:t>
            </w:r>
          </w:p>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A global Online Learning Centre and capacity-building reach across the UN system.</w:t>
            </w:r>
          </w:p>
          <w:p>
            <w:pPr>
              <w:spacing w:after="100" w:line="283" w:lineRule="auto"/>
              <w:ind w:left="288" w:hanging="230"/>
            </w:pPr>
            <w:r>
              <w:rPr>
                <w:rFonts w:ascii="Calibri" w:hAnsi="Calibri" w:cs="Calibri"/>
                <w:b w:val="0"/>
                <w:i w:val="0"/>
                <w:color w:val="A8884A"/>
                <w:sz w:val="14"/>
              </w:rPr>
              <w:t xml:space="preserve">▪  </w:t>
            </w:r>
            <w:r>
              <w:rPr>
                <w:rFonts w:ascii="Calibri" w:hAnsi="Calibri" w:cs="Calibri"/>
                <w:b w:val="0"/>
                <w:i w:val="0"/>
                <w:color w:val="33414B"/>
                <w:sz w:val="19"/>
              </w:rPr>
              <w:t>The UNU Hub model and diploma-granting authority for the joint credential, and the eventual Hub.</w:t>
            </w:r>
          </w:p>
        </w:tc>
      </w:tr>
    </w:tbl>
    <w:p>
      <w:pPr>
        <w:spacing w:after="80" w:before="0"/>
      </w:pPr>
    </w:p>
    <w:p>
      <w:pPr>
        <w:spacing w:after="120" w:before="280"/>
      </w:pPr>
      <w:r>
        <w:rPr>
          <w:rFonts w:ascii="Consolas" w:hAnsi="Consolas" w:cs="Consolas"/>
          <w:b/>
          <w:i w:val="0"/>
          <w:color w:val="A8884A"/>
          <w:sz w:val="22"/>
        </w:rPr>
        <w:t xml:space="preserve">7   </w:t>
      </w:r>
      <w:r>
        <w:rPr>
          <w:rFonts w:ascii="Georgia" w:hAnsi="Georgia" w:cs="Georgia"/>
          <w:b w:val="0"/>
          <w:i w:val="0"/>
          <w:color w:val="0A1822"/>
          <w:sz w:val="34"/>
        </w:rPr>
        <w:t>Sequencing and Timeline</w:t>
      </w:r>
    </w:p>
    <w:p>
      <w:pPr>
        <w:spacing w:after="180" w:before="0"/>
      </w:pPr>
      <w:r>
        <w:rPr>
          <w:rFonts w:ascii="Calibri" w:hAnsi="Calibri" w:cs="Calibri"/>
          <w:b w:val="0"/>
          <w:i w:val="0"/>
          <w:color w:val="26333C"/>
          <w:sz w:val="21"/>
        </w:rPr>
        <w:t>Each phase is deliberately sequenced so that early, low-friction wins build toward the shared destination. The partners intend to proceed in the following order:</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First step, co-host the open dataset. </w:t>
      </w:r>
      <w:r>
        <w:rPr>
          <w:rFonts w:ascii="Calibri" w:hAnsi="Calibri" w:cs="Calibri"/>
          <w:b w:val="0"/>
          <w:i w:val="0"/>
          <w:color w:val="26333C"/>
          <w:sz w:val="21"/>
        </w:rPr>
        <w:t>Stand up the global microbial water-quality dataset as a co-branded, UN-aligned open-data product: low-friction, high-visibility, and immediately useful to UN-Water and member states.</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Year 1, flagship report, course, and first joint outputs. </w:t>
      </w:r>
      <w:r>
        <w:rPr>
          <w:rFonts w:ascii="Calibri" w:hAnsi="Calibri" w:cs="Calibri"/>
          <w:b w:val="0"/>
          <w:i w:val="0"/>
          <w:color w:val="26333C"/>
          <w:sz w:val="21"/>
        </w:rPr>
        <w:t>Publish the inaugural co-branded flagship report, launch the specialized Online Learning Centre course, and begin joint authorship on the outcomes-based-finance evidence base.</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Year 1 to 2, launch the joint graduate program. </w:t>
      </w:r>
      <w:r>
        <w:rPr>
          <w:rFonts w:ascii="Calibri" w:hAnsi="Calibri" w:cs="Calibri"/>
          <w:b w:val="0"/>
          <w:i w:val="0"/>
          <w:color w:val="26333C"/>
          <w:sz w:val="21"/>
        </w:rPr>
        <w:t>Formalize the joint graduate credential between the Mortenson Center and UNU, modeled on the UNU-CCNY programs, with co-supervision and a UN-system internship pathway, per the schedule in Annex A.</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Year 2 and beyond, formalize the joint UNU Hub. </w:t>
      </w:r>
      <w:r>
        <w:rPr>
          <w:rFonts w:ascii="Calibri" w:hAnsi="Calibri" w:cs="Calibri"/>
          <w:b w:val="0"/>
          <w:i w:val="0"/>
          <w:color w:val="26333C"/>
          <w:sz w:val="21"/>
        </w:rPr>
        <w:t>Establish the partnership as a standing UNU Hub on accountable water, environment, and health.</w:t>
      </w:r>
    </w:p>
    <w:p>
      <w:pPr>
        <w:spacing w:after="120" w:before="280"/>
      </w:pPr>
      <w:r>
        <w:rPr>
          <w:rFonts w:ascii="Consolas" w:hAnsi="Consolas" w:cs="Consolas"/>
          <w:b/>
          <w:i w:val="0"/>
          <w:color w:val="A8884A"/>
          <w:sz w:val="22"/>
        </w:rPr>
        <w:t xml:space="preserve">8   </w:t>
      </w:r>
      <w:r>
        <w:rPr>
          <w:rFonts w:ascii="Georgia" w:hAnsi="Georgia" w:cs="Georgia"/>
          <w:b w:val="0"/>
          <w:i w:val="0"/>
          <w:color w:val="0A1822"/>
          <w:sz w:val="34"/>
        </w:rPr>
        <w:t>Pathway to a Joint UNU Hub</w:t>
      </w:r>
    </w:p>
    <w:p>
      <w:pPr>
        <w:spacing w:after="180" w:before="0"/>
      </w:pPr>
      <w:r>
        <w:rPr>
          <w:rFonts w:ascii="Calibri" w:hAnsi="Calibri" w:cs="Calibri"/>
          <w:b w:val="0"/>
          <w:i w:val="0"/>
          <w:color w:val="26333C"/>
          <w:sz w:val="21"/>
        </w:rPr>
        <w:t>The three parts of the partnership are deliberately sequenced toward a shared destination: formalizing a joint UNU Hub on accountable water, environment, and health, differentiated from the existing UNU-INWEH Hubs by methodological focus, measurement-to-finance, rather than geography, and serving as the standing UN-system home for the measurement-to-finance stack.</w:t>
      </w:r>
    </w:p>
    <w:tbl>
      <w:tblPr>
        <w:tblW w:type="auto" w:w="0"/>
        <w:tblLayout w:type="fixed"/>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9360"/>
      </w:tblGrid>
      <w:tr>
        <w:tc>
          <w:tcPr>
            <w:tcW w:type="dxa" w:w="9360"/>
            <w:shd w:val="clear" w:color="auto" w:fill="EAF6FC"/>
            <w:tcMar>
              <w:top w:w="90" w:type="dxa"/>
              <w:bottom w:w="90" w:type="dxa"/>
              <w:start w:w="140" w:type="dxa"/>
              <w:end w:w="120" w:type="dxa"/>
            </w:tcMar>
            <w:tcBorders>
              <w:left w:val="single" w:sz="22" w:space="0" w:color="1AA3DA"/>
            </w:tcBorders>
          </w:tcPr>
          <w:p>
            <w:r>
              <w:rPr>
                <w:rFonts w:ascii="Calibri" w:hAnsi="Calibri" w:cs="Calibri"/>
                <w:b w:val="0"/>
                <w:i w:val="0"/>
                <w:color w:val="27343D"/>
                <w:sz w:val="21"/>
              </w:rPr>
              <w:t>The joint graduate program is the anchoring Education, Training, and Capacity-Building pillar of that prospective Hub. Launching the program, alongside the co-hosted dataset, the flagship report, and the co-authored evidence base, builds the track record, relationships, and shared infrastructure on which the Hub would be formalized in Year 2 and beyond. The earlier phases exist to make this Hub real.</w:t>
            </w:r>
          </w:p>
        </w:tc>
      </w:tr>
    </w:tbl>
    <w:p>
      <w:pPr>
        <w:spacing w:after="80" w:before="0"/>
      </w:pPr>
    </w:p>
    <w:p>
      <w:pPr>
        <w:spacing w:after="120" w:before="280"/>
      </w:pPr>
      <w:r>
        <w:rPr>
          <w:rFonts w:ascii="Consolas" w:hAnsi="Consolas" w:cs="Consolas"/>
          <w:b/>
          <w:i w:val="0"/>
          <w:color w:val="A8884A"/>
          <w:sz w:val="22"/>
        </w:rPr>
        <w:t xml:space="preserve">9   </w:t>
      </w:r>
      <w:r>
        <w:rPr>
          <w:rFonts w:ascii="Georgia" w:hAnsi="Georgia" w:cs="Georgia"/>
          <w:b w:val="0"/>
          <w:i w:val="0"/>
          <w:color w:val="0A1822"/>
          <w:sz w:val="34"/>
        </w:rPr>
        <w:t>General Understandings</w:t>
      </w:r>
    </w:p>
    <w:p>
      <w:pPr>
        <w:spacing w:after="180" w:before="0"/>
      </w:pPr>
      <w:r>
        <w:rPr>
          <w:rFonts w:ascii="Calibri" w:hAnsi="Calibri" w:cs="Calibri"/>
          <w:b w:val="0"/>
          <w:i w:val="0"/>
          <w:color w:val="26333C"/>
          <w:sz w:val="21"/>
        </w:rPr>
        <w:t>This memorandum records a shared intent to collaborate and is not a legally binding contract. In taking it forward, the partners understand that:</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Each party will pursue the activities above subject to its own governance, approvals, and available resources, and each generally bears its own costs unless a specific activity agreement provides otherwise.</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The joint graduate program is subject to UNU approval and to CU Boulder's academic governance; the configuration in Annex A is a draft for discussion.</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Specific activities, including data-sharing and licensing for the open-data product, authorship and intellectual-property terms, and any funded work, will be governed by separate written agreements between the parties.</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This memorandum takes effect on signature, may be amended in writing by mutual consent, and will be reviewed jointly on a periodic basis. Either party may withdraw on reasonable written notice.</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Nothing in this memorandum creates a legal partnership, joint venture, or agency relationship, or authorizes either party to bind the other.</w:t>
      </w:r>
    </w:p>
    <w:p>
      <w:pPr>
        <w:spacing w:after="120" w:before="280"/>
      </w:pPr>
      <w:r>
        <w:rPr>
          <w:rFonts w:ascii="Consolas" w:hAnsi="Consolas" w:cs="Consolas"/>
          <w:b/>
          <w:i w:val="0"/>
          <w:color w:val="A8884A"/>
          <w:sz w:val="22"/>
        </w:rPr>
        <w:t xml:space="preserve">10   </w:t>
      </w:r>
      <w:r>
        <w:rPr>
          <w:rFonts w:ascii="Georgia" w:hAnsi="Georgia" w:cs="Georgia"/>
          <w:b w:val="0"/>
          <w:i w:val="0"/>
          <w:color w:val="0A1822"/>
          <w:sz w:val="34"/>
        </w:rPr>
        <w:t>Conclusion and Request for Approval</w:t>
      </w:r>
    </w:p>
    <w:p>
      <w:pPr>
        <w:spacing w:after="180" w:before="0"/>
      </w:pPr>
      <w:r>
        <w:rPr>
          <w:rFonts w:ascii="Calibri" w:hAnsi="Calibri" w:cs="Calibri"/>
          <w:b w:val="0"/>
          <w:i w:val="0"/>
          <w:color w:val="26333C"/>
          <w:sz w:val="21"/>
        </w:rPr>
        <w:t>This partnership is a strategic initiative that enhances the academic and research offerings of the Mortenson Center while strengthening the collaboration between the University of Colorado Boulder and the United Nations University. It aligns research and training with global sustainability, resilience, and accountability goals, provides mutual benefits including knowledge exchange and expanded research opportunities, and establishes the foundation for a joint UNU Hub. The partners submit this draft for review and approval and welcome refinement of its specific configuration to best leverage the expertise of each institute.</w:t>
      </w:r>
    </w:p>
    <w:tbl>
      <w:tblPr>
        <w:tblW w:type="auto" w:w="0"/>
        <w:tblLayout w:type="fixed"/>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4680"/>
        <w:gridCol w:w="4680"/>
      </w:tblGrid>
      <w:tr>
        <w:tc>
          <w:tcPr>
            <w:tcW w:type="dxa" w:w="4680"/>
            <w:tcMar>
              <w:top w:w="140" w:type="dxa"/>
              <w:bottom w:w="0" w:type="dxa"/>
              <w:start w:w="0" w:type="dxa"/>
              <w:end w:w="120" w:type="dxa"/>
            </w:tcMar>
            <w:tcBorders>
              <w:top w:val="single" w:sz="12" w:space="0" w:color="0A1822"/>
            </w:tcBorders>
          </w:tcPr>
          <w:p>
            <w:pPr>
              <w:spacing w:after="40"/>
            </w:pPr>
            <w:r>
              <w:rPr>
                <w:rFonts w:ascii="Calibri" w:hAnsi="Calibri" w:cs="Calibri"/>
                <w:b/>
                <w:i w:val="0"/>
                <w:color w:val="0A1822"/>
                <w:sz w:val="20"/>
              </w:rPr>
              <w:t>For the Mortenson Center in Global Engineering &amp; Resilience</w:t>
            </w:r>
          </w:p>
          <w:p>
            <w:pPr>
              <w:spacing w:after="200"/>
            </w:pPr>
            <w:r>
              <w:rPr>
                <w:rFonts w:ascii="Calibri" w:hAnsi="Calibri" w:cs="Calibri"/>
                <w:b w:val="0"/>
                <w:i w:val="0"/>
                <w:color w:val="54636E"/>
                <w:sz w:val="19"/>
              </w:rPr>
              <w:t>University of Colorado Boulder</w:t>
            </w:r>
          </w:p>
          <w:p>
            <w:r>
              <w:rPr>
                <w:rFonts w:ascii="Calibri" w:hAnsi="Calibri" w:cs="Calibri"/>
                <w:b w:val="0"/>
                <w:i w:val="0"/>
                <w:color w:val="54636E"/>
                <w:sz w:val="19"/>
              </w:rPr>
              <w:t>Name · Title · Date</w:t>
            </w:r>
          </w:p>
        </w:tc>
        <w:tc>
          <w:tcPr>
            <w:tcW w:type="dxa" w:w="4680"/>
            <w:tcMar>
              <w:top w:w="140" w:type="dxa"/>
              <w:bottom w:w="0" w:type="dxa"/>
              <w:start w:w="0" w:type="dxa"/>
              <w:end w:w="120" w:type="dxa"/>
            </w:tcMar>
            <w:tcBorders>
              <w:top w:val="single" w:sz="12" w:space="0" w:color="0A1822"/>
            </w:tcBorders>
          </w:tcPr>
          <w:p>
            <w:pPr>
              <w:spacing w:after="40"/>
            </w:pPr>
            <w:r>
              <w:rPr>
                <w:rFonts w:ascii="Calibri" w:hAnsi="Calibri" w:cs="Calibri"/>
                <w:b/>
                <w:i w:val="0"/>
                <w:color w:val="0A1822"/>
                <w:sz w:val="20"/>
              </w:rPr>
              <w:t>For UNU-INWEH</w:t>
            </w:r>
          </w:p>
          <w:p>
            <w:pPr>
              <w:spacing w:after="200"/>
            </w:pPr>
            <w:r>
              <w:rPr>
                <w:rFonts w:ascii="Calibri" w:hAnsi="Calibri" w:cs="Calibri"/>
                <w:b w:val="0"/>
                <w:i w:val="0"/>
                <w:color w:val="54636E"/>
                <w:sz w:val="19"/>
              </w:rPr>
              <w:t>United Nations University Institute for Water, Environment and Health</w:t>
            </w:r>
          </w:p>
          <w:p>
            <w:r>
              <w:rPr>
                <w:rFonts w:ascii="Calibri" w:hAnsi="Calibri" w:cs="Calibri"/>
                <w:b w:val="0"/>
                <w:i w:val="0"/>
                <w:color w:val="54636E"/>
                <w:sz w:val="19"/>
              </w:rPr>
              <w:t>Name · Title · Date</w:t>
            </w:r>
          </w:p>
        </w:tc>
      </w:tr>
    </w:tbl>
    <w:p>
      <w:r>
        <w:br w:type="page"/>
      </w:r>
    </w:p>
    <w:p>
      <w:pPr>
        <w:spacing w:after="80" w:before="0"/>
      </w:pPr>
      <w:r>
        <w:rPr>
          <w:rFonts w:ascii="Consolas" w:hAnsi="Consolas" w:cs="Consolas"/>
          <w:b/>
          <w:i w:val="0"/>
          <w:color w:val="A8884A"/>
          <w:sz w:val="20"/>
          <w:spacing w:val="40"/>
        </w:rPr>
        <w:t>ANNEX A</w:t>
      </w:r>
    </w:p>
    <w:p>
      <w:pPr>
        <w:spacing w:after="80" w:before="0"/>
      </w:pPr>
      <w:r>
        <w:rPr>
          <w:rFonts w:ascii="Georgia" w:hAnsi="Georgia" w:cs="Georgia"/>
          <w:b w:val="0"/>
          <w:i w:val="0"/>
          <w:color w:val="0A1822"/>
          <w:sz w:val="48"/>
        </w:rPr>
        <w:t>Joint UNU–CU Boulder Graduate Program</w:t>
      </w:r>
    </w:p>
    <w:p>
      <w:pPr>
        <w:spacing w:after="160" w:before="0"/>
        <w:pBdr>
          <w:bottom w:val="single" w:sz="16" w:space="6" w:color="0A1822"/>
        </w:pBdr>
      </w:pPr>
      <w:r>
        <w:rPr>
          <w:rFonts w:ascii="Calibri" w:hAnsi="Calibri" w:cs="Calibri"/>
          <w:b w:val="0"/>
          <w:i w:val="0"/>
          <w:color w:val="54636E"/>
          <w:sz w:val="20"/>
        </w:rPr>
        <w:t>Focus: Monitoring, Accountability, and Outcomes-Based Finance for Water, Environment, and Health · modeled on the UNU-CCNY joint education programs · subject to UNU approval.</w:t>
      </w:r>
    </w:p>
    <w:p>
      <w:pPr>
        <w:spacing w:after="120" w:before="0"/>
      </w:pPr>
    </w:p>
    <w:p>
      <w:pPr>
        <w:spacing w:after="120" w:before="80"/>
      </w:pPr>
      <w:r>
        <w:rPr>
          <w:rFonts w:ascii="Consolas" w:hAnsi="Consolas" w:cs="Consolas"/>
          <w:b/>
          <w:i w:val="0"/>
          <w:color w:val="A8884A"/>
          <w:sz w:val="22"/>
        </w:rPr>
        <w:t xml:space="preserve">A.1   </w:t>
      </w:r>
      <w:r>
        <w:rPr>
          <w:rFonts w:ascii="Georgia" w:hAnsi="Georgia" w:cs="Georgia"/>
          <w:b w:val="0"/>
          <w:i w:val="0"/>
          <w:color w:val="0A1822"/>
          <w:sz w:val="34"/>
        </w:rPr>
        <w:t>Introduction</w:t>
      </w:r>
    </w:p>
    <w:p>
      <w:pPr>
        <w:spacing w:after="180" w:before="0"/>
      </w:pPr>
      <w:r>
        <w:rPr>
          <w:rFonts w:ascii="Calibri" w:hAnsi="Calibri" w:cs="Calibri"/>
          <w:b w:val="0"/>
          <w:i w:val="0"/>
          <w:color w:val="1C2932"/>
          <w:sz w:val="23"/>
        </w:rPr>
        <w:t>The University of Colorado Boulder, through the Mortenson Center in Global Engineering and Resilience, and the United Nations University Institute for Water, Environment and Health (UNU-INWEH) propose a joint graduate program in Global Engineering and Resilience with a focus on monitoring, accountability, and outcomes-based finance for water, environment, and health.</w:t>
      </w:r>
    </w:p>
    <w:p>
      <w:pPr>
        <w:spacing w:after="180" w:before="0"/>
      </w:pPr>
      <w:r>
        <w:rPr>
          <w:rFonts w:ascii="Calibri" w:hAnsi="Calibri" w:cs="Calibri"/>
          <w:b w:val="0"/>
          <w:i w:val="0"/>
          <w:color w:val="26333C"/>
          <w:sz w:val="21"/>
        </w:rPr>
        <w:t>The joint program offers students the option of earning their University of Colorado Boulder graduate degree as part of their regular curriculum while simultaneously earning a UNU diploma. Both institutes share the same three-domain mandate, water, environment, and health, and the program is offered as the Education, Training, and Capacity-Building pillar of the proposed UNU Hub. In line with the missions of the Mortenson Center and UNU, the program aims to expand educational opportunities for graduate students while strengthening their skills and collaboration networks in environmental sensing, monitoring, outcomes-based and climate finance, and the policy processes they inform, by:</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Delivering an interdisciplinary education program that connects engineering measurement to real-world accountability and finance;</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Empowering students to apply in-situ sensing, data science, and digital measurement-reporting-verification (dMRV) across water, environment, and health;</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Offering students the opportunity to interact with UN and UNU experts, fostering a sense of global connection and community;</w:t>
      </w:r>
    </w:p>
    <w:p>
      <w:pPr>
        <w:spacing w:after="120" w:before="0"/>
        <w:ind w:left="374" w:hanging="288"/>
      </w:pPr>
      <w:r>
        <w:rPr>
          <w:rFonts w:ascii="Calibri" w:hAnsi="Calibri" w:cs="Calibri"/>
          <w:b w:val="0"/>
          <w:i w:val="0"/>
          <w:color w:val="A8884A"/>
          <w:sz w:val="16"/>
        </w:rPr>
        <w:t xml:space="preserve">▪  </w:t>
      </w:r>
      <w:r>
        <w:rPr>
          <w:rFonts w:ascii="Calibri" w:hAnsi="Calibri" w:cs="Calibri"/>
          <w:b w:val="0"/>
          <w:i w:val="0"/>
          <w:color w:val="26333C"/>
          <w:sz w:val="21"/>
        </w:rPr>
        <w:t>Augmenting career prospects by providing students with international credentials from both CU Boulder and UNU.</w:t>
      </w:r>
    </w:p>
    <w:p>
      <w:pPr>
        <w:spacing w:after="120" w:before="280"/>
      </w:pPr>
      <w:r>
        <w:rPr>
          <w:rFonts w:ascii="Consolas" w:hAnsi="Consolas" w:cs="Consolas"/>
          <w:b/>
          <w:i w:val="0"/>
          <w:color w:val="A8884A"/>
          <w:sz w:val="22"/>
        </w:rPr>
        <w:t xml:space="preserve">A.2   </w:t>
      </w:r>
      <w:r>
        <w:rPr>
          <w:rFonts w:ascii="Georgia" w:hAnsi="Georgia" w:cs="Georgia"/>
          <w:b w:val="0"/>
          <w:i w:val="0"/>
          <w:color w:val="0A1822"/>
          <w:sz w:val="34"/>
        </w:rPr>
        <w:t>Program Requirements</w:t>
      </w:r>
    </w:p>
    <w:p>
      <w:pPr>
        <w:spacing w:after="180" w:before="0"/>
      </w:pPr>
      <w:r>
        <w:rPr>
          <w:rFonts w:ascii="Calibri" w:hAnsi="Calibri" w:cs="Calibri"/>
          <w:b w:val="0"/>
          <w:i w:val="0"/>
          <w:color w:val="26333C"/>
          <w:sz w:val="21"/>
        </w:rPr>
        <w:t>The joint program maintains the foundational structure of the student's existing CU Boulder degree, the Professional MS in Global Resilience &amp; Sustainability Engineering or the Professional MS in Environmental Engineering (PhD tracks in Civil, Environmental &amp; Architectural Engineering and in Aerospace are also eligible), while integrating a small set of joint additions. The Mortenson Center already runs the building blocks: a Graduate Certificate in Global Engineering (12 credits, of which 9 transfer into the MS) and a field Practicum across 80+ partner programs. The UNU layer therefore adds global credentialing, not a parallel degree. The following table describes the existing CU Boulder requirements and the proposed joint additions.</w:t>
      </w:r>
    </w:p>
    <w:tbl>
      <w:tblPr>
        <w:tblW w:type="auto" w:w="0"/>
        <w:tblLayout w:type="fixed"/>
        <w:tblLook w:firstColumn="1" w:firstRow="1" w:lastColumn="0" w:lastRow="0" w:noHBand="0" w:noVBand="1" w:val="04A0"/>
        <w:tblBorders>
          <w:top w:val="single" w:sz="6" w:space="0" w:color="D9D3C7"/>
          <w:left w:val="single" w:sz="6" w:space="0" w:color="D9D3C7"/>
          <w:bottom w:val="single" w:sz="6" w:space="0" w:color="D9D3C7"/>
          <w:right w:val="single" w:sz="6" w:space="0" w:color="D9D3C7"/>
          <w:insideH w:val="single" w:sz="6" w:space="0" w:color="D9D3C7"/>
          <w:insideV w:val="single" w:sz="6" w:space="0" w:color="D9D3C7"/>
        </w:tblBorders>
        <w:tblLayout w:type="fixed"/>
      </w:tblPr>
      <w:tblGrid>
        <w:gridCol w:w="3120"/>
        <w:gridCol w:w="3120"/>
        <w:gridCol w:w="3120"/>
      </w:tblGrid>
      <w:tr>
        <w:tc>
          <w:tcPr>
            <w:tcW w:type="dxa" w:w="1944"/>
            <w:shd w:val="clear" w:color="auto" w:fill="0A1822"/>
            <w:tcMar>
              <w:top w:w="60" w:type="dxa"/>
              <w:bottom w:w="60" w:type="dxa"/>
              <w:start w:w="110" w:type="dxa"/>
              <w:end w:w="110" w:type="dxa"/>
            </w:tcMar>
          </w:tcPr>
          <w:p>
            <w:r>
              <w:rPr>
                <w:rFonts w:ascii="Consolas" w:hAnsi="Consolas" w:cs="Consolas"/>
                <w:b/>
                <w:i w:val="0"/>
                <w:color w:val="CBDBE4"/>
                <w:sz w:val="17"/>
                <w:spacing w:val="14"/>
              </w:rPr>
              <w:t>REQUIREMENT</w:t>
            </w:r>
          </w:p>
        </w:tc>
        <w:tc>
          <w:tcPr>
            <w:tcW w:type="dxa" w:w="3708"/>
            <w:shd w:val="clear" w:color="auto" w:fill="CFB87C"/>
            <w:tcMar>
              <w:top w:w="60" w:type="dxa"/>
              <w:bottom w:w="60" w:type="dxa"/>
              <w:start w:w="110" w:type="dxa"/>
              <w:end w:w="110" w:type="dxa"/>
            </w:tcMar>
          </w:tcPr>
          <w:p>
            <w:r>
              <w:rPr>
                <w:rFonts w:ascii="Consolas" w:hAnsi="Consolas" w:cs="Consolas"/>
                <w:b/>
                <w:i w:val="0"/>
                <w:color w:val="3A2F12"/>
                <w:sz w:val="17"/>
                <w:spacing w:val="14"/>
              </w:rPr>
              <w:t>CU BOULDER PATHWAY TODAY</w:t>
            </w:r>
          </w:p>
        </w:tc>
        <w:tc>
          <w:tcPr>
            <w:tcW w:type="dxa" w:w="3708"/>
            <w:shd w:val="clear" w:color="auto" w:fill="15234A"/>
            <w:tcMar>
              <w:top w:w="60" w:type="dxa"/>
              <w:bottom w:w="60" w:type="dxa"/>
              <w:start w:w="110" w:type="dxa"/>
              <w:end w:w="110" w:type="dxa"/>
            </w:tcMar>
          </w:tcPr>
          <w:p>
            <w:r>
              <w:rPr>
                <w:rFonts w:ascii="Consolas" w:hAnsi="Consolas" w:cs="Consolas"/>
                <w:b/>
                <w:i w:val="0"/>
                <w:color w:val="EAF6FC"/>
                <w:sz w:val="17"/>
                <w:spacing w:val="14"/>
              </w:rPr>
              <w:t>JOINT UNU–CU BOULDER ADDITIONS</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Graduate degree</w:t>
            </w:r>
          </w:p>
        </w:tc>
        <w:tc>
          <w:tcPr>
            <w:tcW w:type="dxa" w:w="3708"/>
            <w:tcMar>
              <w:top w:w="70" w:type="dxa"/>
              <w:bottom w:w="70" w:type="dxa"/>
              <w:start w:w="110" w:type="dxa"/>
              <w:end w:w="110" w:type="dxa"/>
            </w:tcMar>
          </w:tcPr>
          <w:p>
            <w:r>
              <w:rPr>
                <w:rFonts w:ascii="Calibri" w:hAnsi="Calibri" w:cs="Calibri"/>
                <w:b w:val="0"/>
                <w:i w:val="0"/>
                <w:color w:val="3A4751"/>
                <w:sz w:val="19"/>
              </w:rPr>
              <w:t>Professional MS in Global Resilience &amp; Sustainability Engineering or in Environmental Engineering (30 credits); CEAE / Aerospace PhD tracks also eligible.</w:t>
            </w:r>
          </w:p>
        </w:tc>
        <w:tc>
          <w:tcPr>
            <w:tcW w:type="dxa" w:w="3708"/>
            <w:shd w:val="clear" w:color="auto" w:fill="F2FAFE"/>
            <w:tcMar>
              <w:top w:w="70" w:type="dxa"/>
              <w:bottom w:w="70" w:type="dxa"/>
              <w:start w:w="110" w:type="dxa"/>
              <w:end w:w="110" w:type="dxa"/>
            </w:tcMar>
          </w:tcPr>
          <w:p>
            <w:r>
              <w:rPr>
                <w:rFonts w:ascii="Calibri" w:hAnsi="Calibri" w:cs="Calibri"/>
                <w:b/>
                <w:i w:val="0"/>
                <w:color w:val="0B6FA8"/>
                <w:sz w:val="19"/>
              </w:rPr>
              <w:t>Unchanged.</w:t>
            </w:r>
            <w:r>
              <w:rPr>
                <w:rFonts w:ascii="Calibri" w:hAnsi="Calibri" w:cs="Calibri"/>
                <w:b w:val="0"/>
                <w:i w:val="0"/>
                <w:color w:val="243A45"/>
                <w:sz w:val="19"/>
              </w:rPr>
              <w:t xml:space="preserve"> The CU degree remains the foundation; the joint program builds on it.</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Global engineering core</w:t>
            </w:r>
          </w:p>
        </w:tc>
        <w:tc>
          <w:tcPr>
            <w:tcW w:type="dxa" w:w="3708"/>
            <w:tcMar>
              <w:top w:w="70" w:type="dxa"/>
              <w:bottom w:w="70" w:type="dxa"/>
              <w:start w:w="110" w:type="dxa"/>
              <w:end w:w="110" w:type="dxa"/>
            </w:tcMar>
          </w:tcPr>
          <w:p>
            <w:r>
              <w:rPr>
                <w:rFonts w:ascii="Calibri" w:hAnsi="Calibri" w:cs="Calibri"/>
                <w:b w:val="0"/>
                <w:i w:val="0"/>
                <w:color w:val="3A4751"/>
                <w:sz w:val="19"/>
              </w:rPr>
              <w:t>Graduate Certificate in Global Engineering (12 cr): CVEN 5919 Global Development for Engineers + Mortenson 1-credit modules; 9 cr transfer into the MS.</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 xml:space="preserve">Certificate coursework counts toward the joint credential, including </w:t>
            </w:r>
            <w:r>
              <w:rPr>
                <w:rFonts w:ascii="Calibri" w:hAnsi="Calibri" w:cs="Calibri"/>
                <w:b/>
                <w:i w:val="0"/>
                <w:color w:val="0B6FA8"/>
                <w:sz w:val="19"/>
              </w:rPr>
              <w:t>at least one module on environmental sensing, dMRV, or outcomes-based finance.</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Policy / finance course</w:t>
            </w:r>
          </w:p>
        </w:tc>
        <w:tc>
          <w:tcPr>
            <w:tcW w:type="dxa" w:w="3708"/>
            <w:tcMar>
              <w:top w:w="70" w:type="dxa"/>
              <w:bottom w:w="70" w:type="dxa"/>
              <w:start w:w="110" w:type="dxa"/>
              <w:end w:w="110" w:type="dxa"/>
            </w:tcMar>
          </w:tcPr>
          <w:p>
            <w:r>
              <w:rPr>
                <w:rFonts w:ascii="Calibri" w:hAnsi="Calibri" w:cs="Calibri"/>
                <w:b w:val="0"/>
                <w:i w:val="0"/>
                <w:color w:val="3A4751"/>
                <w:sz w:val="19"/>
              </w:rPr>
              <w:t>Electives chosen with the program advisor.</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 xml:space="preserve">One approved course in </w:t>
            </w:r>
            <w:r>
              <w:rPr>
                <w:rFonts w:ascii="Calibri" w:hAnsi="Calibri" w:cs="Calibri"/>
                <w:b/>
                <w:i w:val="0"/>
                <w:color w:val="0B6FA8"/>
                <w:sz w:val="19"/>
              </w:rPr>
              <w:t>environmental or health policy, or outcomes-based and climate finance.</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UNU seminar series</w:t>
            </w:r>
          </w:p>
        </w:tc>
        <w:tc>
          <w:tcPr>
            <w:tcW w:type="dxa" w:w="3708"/>
            <w:tcMar>
              <w:top w:w="70" w:type="dxa"/>
              <w:bottom w:w="70" w:type="dxa"/>
              <w:start w:w="110" w:type="dxa"/>
              <w:end w:w="110" w:type="dxa"/>
            </w:tcMar>
          </w:tcPr>
          <w:p>
            <w:r>
              <w:rPr>
                <w:rFonts w:ascii="Calibri" w:hAnsi="Calibri" w:cs="Calibri"/>
                <w:b w:val="0"/>
                <w:i w:val="0"/>
                <w:color w:val="3A4751"/>
                <w:sz w:val="19"/>
              </w:rPr>
              <w:t>Departmental seminars.</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 xml:space="preserve">A semester-long </w:t>
            </w:r>
            <w:r>
              <w:rPr>
                <w:rFonts w:ascii="Calibri" w:hAnsi="Calibri" w:cs="Calibri"/>
                <w:b/>
                <w:i w:val="0"/>
                <w:color w:val="0B6FA8"/>
                <w:sz w:val="19"/>
              </w:rPr>
              <w:t>UNU seminar series</w:t>
            </w:r>
            <w:r>
              <w:rPr>
                <w:rFonts w:ascii="Calibri" w:hAnsi="Calibri" w:cs="Calibri"/>
                <w:b w:val="0"/>
                <w:i w:val="0"/>
                <w:color w:val="243A45"/>
                <w:sz w:val="19"/>
              </w:rPr>
              <w:t xml:space="preserve"> featuring UN and UNU scientists, co-hosted by UNU-INWEH and the Mortenson Center.</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Co-supervision</w:t>
            </w:r>
          </w:p>
        </w:tc>
        <w:tc>
          <w:tcPr>
            <w:tcW w:type="dxa" w:w="3708"/>
            <w:tcMar>
              <w:top w:w="70" w:type="dxa"/>
              <w:bottom w:w="70" w:type="dxa"/>
              <w:start w:w="110" w:type="dxa"/>
              <w:end w:w="110" w:type="dxa"/>
            </w:tcMar>
          </w:tcPr>
          <w:p>
            <w:r>
              <w:rPr>
                <w:rFonts w:ascii="Calibri" w:hAnsi="Calibri" w:cs="Calibri"/>
                <w:b w:val="0"/>
                <w:i w:val="0"/>
                <w:color w:val="3A4751"/>
                <w:sz w:val="19"/>
              </w:rPr>
              <w:t>Committee of CU faculty (plus one external member for the PhD).</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 xml:space="preserve">At least one </w:t>
            </w:r>
            <w:r>
              <w:rPr>
                <w:rFonts w:ascii="Calibri" w:hAnsi="Calibri" w:cs="Calibri"/>
                <w:b/>
                <w:i w:val="0"/>
                <w:color w:val="0B6FA8"/>
                <w:sz w:val="19"/>
              </w:rPr>
              <w:t>UNU, UNU Hub, or UN-system expert</w:t>
            </w:r>
            <w:r>
              <w:rPr>
                <w:rFonts w:ascii="Calibri" w:hAnsi="Calibri" w:cs="Calibri"/>
                <w:b w:val="0"/>
                <w:i w:val="0"/>
                <w:color w:val="243A45"/>
                <w:sz w:val="19"/>
              </w:rPr>
              <w:t xml:space="preserve"> on the thesis or dissertation committee.</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Research alignment</w:t>
            </w:r>
          </w:p>
        </w:tc>
        <w:tc>
          <w:tcPr>
            <w:tcW w:type="dxa" w:w="3708"/>
            <w:tcMar>
              <w:top w:w="70" w:type="dxa"/>
              <w:bottom w:w="70" w:type="dxa"/>
              <w:start w:w="110" w:type="dxa"/>
              <w:end w:w="110" w:type="dxa"/>
            </w:tcMar>
          </w:tcPr>
          <w:p>
            <w:r>
              <w:rPr>
                <w:rFonts w:ascii="Calibri" w:hAnsi="Calibri" w:cs="Calibri"/>
                <w:b w:val="0"/>
                <w:i w:val="0"/>
                <w:color w:val="3A4751"/>
                <w:sz w:val="19"/>
              </w:rPr>
              <w:t>Thesis or project on an approved engineering topic.</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 xml:space="preserve">Research aligned to one or more SDGs, focused on </w:t>
            </w:r>
            <w:r>
              <w:rPr>
                <w:rFonts w:ascii="Calibri" w:hAnsi="Calibri" w:cs="Calibri"/>
                <w:b/>
                <w:i w:val="0"/>
                <w:color w:val="0B6FA8"/>
                <w:sz w:val="19"/>
              </w:rPr>
              <w:t>accountable water, environment, and health and sensor-verified outcomes-based finance.</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Applied component</w:t>
            </w:r>
          </w:p>
        </w:tc>
        <w:tc>
          <w:tcPr>
            <w:tcW w:type="dxa" w:w="3708"/>
            <w:tcMar>
              <w:top w:w="70" w:type="dxa"/>
              <w:bottom w:w="70" w:type="dxa"/>
              <w:start w:w="110" w:type="dxa"/>
              <w:end w:w="110" w:type="dxa"/>
            </w:tcMar>
          </w:tcPr>
          <w:p>
            <w:r>
              <w:rPr>
                <w:rFonts w:ascii="Calibri" w:hAnsi="Calibri" w:cs="Calibri"/>
                <w:b w:val="0"/>
                <w:i w:val="0"/>
                <w:color w:val="3A4751"/>
                <w:sz w:val="19"/>
              </w:rPr>
              <w:t>Practicum deliverables.</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A policy brief or journal article, a contribution to the co-branded flagship report, delivery of a capacity-building workshop, or design / evaluation of an intervention.</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UN-system learning</w:t>
            </w:r>
          </w:p>
        </w:tc>
        <w:tc>
          <w:tcPr>
            <w:tcW w:type="dxa" w:w="3708"/>
            <w:tcMar>
              <w:top w:w="70" w:type="dxa"/>
              <w:bottom w:w="70" w:type="dxa"/>
              <w:start w:w="110" w:type="dxa"/>
              <w:end w:w="110" w:type="dxa"/>
            </w:tcMar>
          </w:tcPr>
          <w:p>
            <w:r>
              <w:rPr>
                <w:rFonts w:ascii="Calibri" w:hAnsi="Calibri" w:cs="Calibri"/>
                <w:b w:val="0"/>
                <w:i w:val="0"/>
                <w:color w:val="3A4751"/>
                <w:sz w:val="19"/>
              </w:rPr>
              <w:t>—</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 xml:space="preserve">Selected modules from the </w:t>
            </w:r>
            <w:r>
              <w:rPr>
                <w:rFonts w:ascii="Calibri" w:hAnsi="Calibri" w:cs="Calibri"/>
                <w:b/>
                <w:i w:val="0"/>
                <w:color w:val="0B6FA8"/>
                <w:sz w:val="19"/>
              </w:rPr>
              <w:t>UNU-INWEH Online Learning Centre</w:t>
            </w:r>
            <w:r>
              <w:rPr>
                <w:rFonts w:ascii="Calibri" w:hAnsi="Calibri" w:cs="Calibri"/>
                <w:b w:val="0"/>
                <w:i w:val="0"/>
                <w:color w:val="243A45"/>
                <w:sz w:val="19"/>
              </w:rPr>
              <w:t xml:space="preserve"> or other UN e-learning (UN Staff College, FAO, UNEP, UNDRR).</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Internship / Practicum</w:t>
            </w:r>
          </w:p>
        </w:tc>
        <w:tc>
          <w:tcPr>
            <w:tcW w:type="dxa" w:w="3708"/>
            <w:tcMar>
              <w:top w:w="70" w:type="dxa"/>
              <w:bottom w:w="70" w:type="dxa"/>
              <w:start w:w="110" w:type="dxa"/>
              <w:end w:w="110" w:type="dxa"/>
            </w:tcMar>
          </w:tcPr>
          <w:p>
            <w:r>
              <w:rPr>
                <w:rFonts w:ascii="Calibri" w:hAnsi="Calibri" w:cs="Calibri"/>
                <w:b w:val="0"/>
                <w:i w:val="0"/>
                <w:color w:val="3A4751"/>
                <w:sz w:val="19"/>
              </w:rPr>
              <w:t>Mortenson Practicum placement (80+ partner programs).</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 xml:space="preserve">Fulfilled, in person or remotely, at </w:t>
            </w:r>
            <w:r>
              <w:rPr>
                <w:rFonts w:ascii="Calibri" w:hAnsi="Calibri" w:cs="Calibri"/>
                <w:b/>
                <w:i w:val="0"/>
                <w:color w:val="0B6FA8"/>
                <w:sz w:val="19"/>
              </w:rPr>
              <w:t>UNU-INWEH, a UNU Hub, or a UN agency.</w:t>
            </w:r>
          </w:p>
        </w:tc>
      </w:tr>
      <w:tr>
        <w:tc>
          <w:tcPr>
            <w:tcW w:type="dxa" w:w="1944"/>
            <w:shd w:val="clear" w:color="auto" w:fill="F1F2F3"/>
            <w:tcMar>
              <w:top w:w="70" w:type="dxa"/>
              <w:bottom w:w="70" w:type="dxa"/>
              <w:start w:w="110" w:type="dxa"/>
              <w:end w:w="110" w:type="dxa"/>
            </w:tcMar>
          </w:tcPr>
          <w:p>
            <w:r>
              <w:rPr>
                <w:rFonts w:ascii="Calibri" w:hAnsi="Calibri" w:cs="Calibri"/>
                <w:b/>
                <w:i w:val="0"/>
                <w:color w:val="0A1822"/>
                <w:sz w:val="19"/>
              </w:rPr>
              <w:t>Credential awarded</w:t>
            </w:r>
          </w:p>
        </w:tc>
        <w:tc>
          <w:tcPr>
            <w:tcW w:type="dxa" w:w="3708"/>
            <w:tcMar>
              <w:top w:w="70" w:type="dxa"/>
              <w:bottom w:w="70" w:type="dxa"/>
              <w:start w:w="110" w:type="dxa"/>
              <w:end w:w="110" w:type="dxa"/>
            </w:tcMar>
          </w:tcPr>
          <w:p>
            <w:r>
              <w:rPr>
                <w:rFonts w:ascii="Calibri" w:hAnsi="Calibri" w:cs="Calibri"/>
                <w:b w:val="0"/>
                <w:i w:val="0"/>
                <w:color w:val="3A4751"/>
                <w:sz w:val="19"/>
              </w:rPr>
              <w:t>CU Boulder degree + Mortenson Graduate Certificate.</w:t>
            </w:r>
          </w:p>
        </w:tc>
        <w:tc>
          <w:tcPr>
            <w:tcW w:type="dxa" w:w="3708"/>
            <w:shd w:val="clear" w:color="auto" w:fill="F2FAFE"/>
            <w:tcMar>
              <w:top w:w="70" w:type="dxa"/>
              <w:bottom w:w="70" w:type="dxa"/>
              <w:start w:w="110" w:type="dxa"/>
              <w:end w:w="110" w:type="dxa"/>
            </w:tcMar>
          </w:tcPr>
          <w:p>
            <w:r>
              <w:rPr>
                <w:rFonts w:ascii="Calibri" w:hAnsi="Calibri" w:cs="Calibri"/>
                <w:b w:val="0"/>
                <w:i w:val="0"/>
                <w:color w:val="243A45"/>
                <w:sz w:val="19"/>
              </w:rPr>
              <w:t xml:space="preserve">Plus a </w:t>
            </w:r>
            <w:r>
              <w:rPr>
                <w:rFonts w:ascii="Calibri" w:hAnsi="Calibri" w:cs="Calibri"/>
                <w:b/>
                <w:i w:val="0"/>
                <w:color w:val="0B6FA8"/>
                <w:sz w:val="19"/>
              </w:rPr>
              <w:t>UNU diploma</w:t>
            </w:r>
            <w:r>
              <w:rPr>
                <w:rFonts w:ascii="Calibri" w:hAnsi="Calibri" w:cs="Calibri"/>
                <w:b w:val="0"/>
                <w:i w:val="0"/>
                <w:color w:val="243A45"/>
                <w:sz w:val="19"/>
              </w:rPr>
              <w:t xml:space="preserve"> in Monitoring, Accountability &amp; Outcomes-Based Finance for Water, Environment &amp; Health.</w:t>
            </w:r>
          </w:p>
        </w:tc>
      </w:tr>
    </w:tbl>
    <w:p>
      <w:pPr>
        <w:spacing w:after="80" w:before="0"/>
      </w:pPr>
    </w:p>
    <w:p>
      <w:pPr>
        <w:spacing w:after="120" w:before="160"/>
      </w:pPr>
      <w:r>
        <w:rPr>
          <w:rFonts w:ascii="Georgia" w:hAnsi="Georgia" w:cs="Georgia"/>
          <w:b w:val="0"/>
          <w:i w:val="0"/>
          <w:color w:val="0A1822"/>
          <w:sz w:val="28"/>
        </w:rPr>
        <w:t xml:space="preserve">A.2.1 · Course-level mapping </w:t>
      </w:r>
      <w:r>
        <w:rPr>
          <w:rFonts w:ascii="Calibri" w:hAnsi="Calibri" w:cs="Calibri"/>
          <w:b w:val="0"/>
          <w:i w:val="0"/>
          <w:color w:val="54636E"/>
          <w:sz w:val="20"/>
        </w:rPr>
        <w:t>(illustrative — drawn from the CU Boulder and UNU-INWEH catalogs)</w:t>
      </w:r>
    </w:p>
    <w:p>
      <w:pPr>
        <w:spacing w:after="180" w:before="0"/>
      </w:pPr>
      <w:r>
        <w:rPr>
          <w:rFonts w:ascii="Calibri" w:hAnsi="Calibri" w:cs="Calibri"/>
          <w:b w:val="0"/>
          <w:i w:val="0"/>
          <w:color w:val="26333C"/>
          <w:sz w:val="21"/>
        </w:rPr>
        <w:t>Following the UNU-CCNY model, the joint additions resolve to specific courses. The Mortenson courses below form a pre-approved shortlist; five-week modules carry 1 credit and stack toward the 12-credit Graduate Certificate (CVEN 5919 + 9 credits of approved modules, 9 of which transfer into the MS). The components slot into the Professional MS in Environmental Engineering as electives, and into the Professional MS in Global Resilience &amp; Sustainability Engineering via its measurement, policy, elective, and capstone slots.</w:t>
      </w:r>
    </w:p>
    <w:tbl>
      <w:tblPr>
        <w:tblW w:type="auto" w:w="0"/>
        <w:tblLayout w:type="fixed"/>
        <w:tblLook w:firstColumn="1" w:firstRow="1" w:lastColumn="0" w:lastRow="0" w:noHBand="0" w:noVBand="1" w:val="04A0"/>
        <w:tblBorders>
          <w:top w:val="single" w:sz="6" w:space="0" w:color="D9D3C7"/>
          <w:left w:val="single" w:sz="6" w:space="0" w:color="D9D3C7"/>
          <w:bottom w:val="single" w:sz="6" w:space="0" w:color="D9D3C7"/>
          <w:right w:val="single" w:sz="6" w:space="0" w:color="D9D3C7"/>
          <w:insideH w:val="single" w:sz="6" w:space="0" w:color="D9D3C7"/>
          <w:insideV w:val="single" w:sz="6" w:space="0" w:color="D9D3C7"/>
        </w:tblBorders>
        <w:tblLayout w:type="fixed"/>
      </w:tblPr>
      <w:tblGrid>
        <w:gridCol w:w="9360"/>
      </w:tblGrid>
      <w:tr>
        <w:tc>
          <w:tcPr>
            <w:tcW w:type="dxa" w:w="9360"/>
            <w:tcMar>
              <w:top w:w="70" w:type="dxa"/>
              <w:bottom w:w="70" w:type="dxa"/>
              <w:start w:w="120" w:type="dxa"/>
              <w:end w:w="120" w:type="dxa"/>
            </w:tcMar>
          </w:tcPr>
          <w:p>
            <w:pPr>
              <w:spacing w:after="80"/>
            </w:pPr>
            <w:r>
              <w:rPr>
                <w:rFonts w:ascii="Consolas" w:hAnsi="Consolas" w:cs="Consolas"/>
                <w:b/>
                <w:i w:val="0"/>
                <w:color w:val="A8884A"/>
                <w:sz w:val="22"/>
              </w:rPr>
              <w:t xml:space="preserve">A   </w:t>
            </w:r>
            <w:r>
              <w:rPr>
                <w:rFonts w:ascii="Georgia" w:hAnsi="Georgia" w:cs="Georgia"/>
                <w:b w:val="0"/>
                <w:i w:val="0"/>
                <w:color w:val="0A1822"/>
                <w:sz w:val="26"/>
              </w:rPr>
              <w:t xml:space="preserve">Global engineering core   </w:t>
            </w:r>
            <w:r>
              <w:rPr>
                <w:rFonts w:ascii="Consolas" w:hAnsi="Consolas" w:cs="Consolas"/>
                <w:b w:val="0"/>
                <w:i w:val="0"/>
                <w:color w:val="0B6FA8"/>
                <w:sz w:val="18"/>
              </w:rPr>
              <w:t>required · 3 cr</w:t>
            </w:r>
          </w:p>
          <w:p>
            <w:pPr>
              <w:spacing w:after="60" w:line="276" w:lineRule="auto"/>
              <w:ind w:left="72"/>
            </w:pPr>
            <w:r>
              <w:rPr>
                <w:rFonts w:ascii="Consolas" w:hAnsi="Consolas" w:cs="Consolas"/>
                <w:b/>
                <w:i w:val="0"/>
                <w:color w:val="15234A"/>
                <w:sz w:val="19"/>
              </w:rPr>
              <w:t xml:space="preserve">CVEN 5919   </w:t>
            </w:r>
            <w:r>
              <w:rPr>
                <w:rFonts w:ascii="Calibri" w:hAnsi="Calibri" w:cs="Calibri"/>
                <w:b w:val="0"/>
                <w:i w:val="0"/>
                <w:color w:val="34424C"/>
                <w:sz w:val="19"/>
              </w:rPr>
              <w:t>Global Development for Engineers</w:t>
            </w:r>
          </w:p>
        </w:tc>
      </w:tr>
      <w:tr>
        <w:tc>
          <w:tcPr>
            <w:tcW w:type="dxa" w:w="9360"/>
            <w:tcMar>
              <w:top w:w="70" w:type="dxa"/>
              <w:bottom w:w="70" w:type="dxa"/>
              <w:start w:w="120" w:type="dxa"/>
              <w:end w:w="120" w:type="dxa"/>
            </w:tcMar>
          </w:tcPr>
          <w:p>
            <w:pPr>
              <w:spacing w:after="80"/>
            </w:pPr>
            <w:r>
              <w:rPr>
                <w:rFonts w:ascii="Consolas" w:hAnsi="Consolas" w:cs="Consolas"/>
                <w:b/>
                <w:i w:val="0"/>
                <w:color w:val="A8884A"/>
                <w:sz w:val="22"/>
              </w:rPr>
              <w:t xml:space="preserve">B   </w:t>
            </w:r>
            <w:r>
              <w:rPr>
                <w:rFonts w:ascii="Georgia" w:hAnsi="Georgia" w:cs="Georgia"/>
                <w:b w:val="0"/>
                <w:i w:val="0"/>
                <w:color w:val="0A1822"/>
                <w:sz w:val="26"/>
              </w:rPr>
              <w:t xml:space="preserve">Measurement, sensing &amp; dMRV   </w:t>
            </w:r>
            <w:r>
              <w:rPr>
                <w:rFonts w:ascii="Consolas" w:hAnsi="Consolas" w:cs="Consolas"/>
                <w:b w:val="0"/>
                <w:i w:val="0"/>
                <w:color w:val="0B6FA8"/>
                <w:sz w:val="18"/>
              </w:rPr>
              <w:t>choose ≥1 · 1–3 cr</w:t>
            </w:r>
          </w:p>
          <w:p>
            <w:pPr>
              <w:spacing w:after="60" w:line="276" w:lineRule="auto"/>
              <w:ind w:left="72"/>
            </w:pPr>
            <w:r>
              <w:rPr>
                <w:rFonts w:ascii="Consolas" w:hAnsi="Consolas" w:cs="Consolas"/>
                <w:b/>
                <w:i w:val="0"/>
                <w:color w:val="15234A"/>
                <w:sz w:val="19"/>
              </w:rPr>
              <w:t xml:space="preserve">CVEN 5999   </w:t>
            </w:r>
            <w:r>
              <w:rPr>
                <w:rFonts w:ascii="Calibri" w:hAnsi="Calibri" w:cs="Calibri"/>
                <w:b w:val="0"/>
                <w:i w:val="0"/>
                <w:color w:val="34424C"/>
                <w:sz w:val="19"/>
              </w:rPr>
              <w:t>Data Analytics for Development (1 cr)</w:t>
            </w:r>
          </w:p>
          <w:p>
            <w:pPr>
              <w:spacing w:after="60" w:line="276" w:lineRule="auto"/>
              <w:ind w:left="72"/>
            </w:pPr>
            <w:r>
              <w:rPr>
                <w:rFonts w:ascii="Consolas" w:hAnsi="Consolas" w:cs="Consolas"/>
                <w:b/>
                <w:i w:val="0"/>
                <w:color w:val="15234A"/>
                <w:sz w:val="19"/>
              </w:rPr>
              <w:t xml:space="preserve">CVEN 5989   </w:t>
            </w:r>
            <w:r>
              <w:rPr>
                <w:rFonts w:ascii="Calibri" w:hAnsi="Calibri" w:cs="Calibri"/>
                <w:b w:val="0"/>
                <w:i w:val="0"/>
                <w:color w:val="34424C"/>
                <w:sz w:val="19"/>
              </w:rPr>
              <w:t>Study Design &amp; Impact Evaluation (1 cr)</w:t>
            </w:r>
          </w:p>
          <w:p>
            <w:pPr>
              <w:spacing w:after="60" w:line="276" w:lineRule="auto"/>
              <w:ind w:left="72"/>
            </w:pPr>
            <w:r>
              <w:rPr>
                <w:rFonts w:ascii="Consolas" w:hAnsi="Consolas" w:cs="Consolas"/>
                <w:b/>
                <w:i w:val="0"/>
                <w:color w:val="15234A"/>
                <w:sz w:val="19"/>
              </w:rPr>
              <w:t xml:space="preserve">EVEN 5444   </w:t>
            </w:r>
            <w:r>
              <w:rPr>
                <w:rFonts w:ascii="Calibri" w:hAnsi="Calibri" w:cs="Calibri"/>
                <w:b w:val="0"/>
                <w:i w:val="0"/>
                <w:color w:val="34424C"/>
                <w:sz w:val="19"/>
              </w:rPr>
              <w:t>Analytical Methods, Experimental Design &amp; Applied Data Analysis (3 cr)</w:t>
            </w:r>
          </w:p>
        </w:tc>
      </w:tr>
      <w:tr>
        <w:tc>
          <w:tcPr>
            <w:tcW w:type="dxa" w:w="9360"/>
            <w:tcMar>
              <w:top w:w="70" w:type="dxa"/>
              <w:bottom w:w="70" w:type="dxa"/>
              <w:start w:w="120" w:type="dxa"/>
              <w:end w:w="120" w:type="dxa"/>
            </w:tcMar>
          </w:tcPr>
          <w:p>
            <w:pPr>
              <w:spacing w:after="80"/>
            </w:pPr>
            <w:r>
              <w:rPr>
                <w:rFonts w:ascii="Consolas" w:hAnsi="Consolas" w:cs="Consolas"/>
                <w:b/>
                <w:i w:val="0"/>
                <w:color w:val="A8884A"/>
                <w:sz w:val="22"/>
              </w:rPr>
              <w:t xml:space="preserve">C   </w:t>
            </w:r>
            <w:r>
              <w:rPr>
                <w:rFonts w:ascii="Georgia" w:hAnsi="Georgia" w:cs="Georgia"/>
                <w:b w:val="0"/>
                <w:i w:val="0"/>
                <w:color w:val="0A1822"/>
                <w:sz w:val="26"/>
              </w:rPr>
              <w:t xml:space="preserve">Policy &amp; outcomes-based / development finance   </w:t>
            </w:r>
            <w:r>
              <w:rPr>
                <w:rFonts w:ascii="Consolas" w:hAnsi="Consolas" w:cs="Consolas"/>
                <w:b w:val="0"/>
                <w:i w:val="0"/>
                <w:color w:val="0B6FA8"/>
                <w:sz w:val="18"/>
              </w:rPr>
              <w:t>choose ≥1 · 1–3 cr</w:t>
            </w:r>
          </w:p>
          <w:p>
            <w:pPr>
              <w:spacing w:after="60" w:line="276" w:lineRule="auto"/>
              <w:ind w:left="72"/>
            </w:pPr>
            <w:r>
              <w:rPr>
                <w:rFonts w:ascii="Consolas" w:hAnsi="Consolas" w:cs="Consolas"/>
                <w:b/>
                <w:i w:val="0"/>
                <w:color w:val="15234A"/>
                <w:sz w:val="19"/>
              </w:rPr>
              <w:t xml:space="preserve">CVEN 5109   </w:t>
            </w:r>
            <w:r>
              <w:rPr>
                <w:rFonts w:ascii="Calibri" w:hAnsi="Calibri" w:cs="Calibri"/>
                <w:b w:val="0"/>
                <w:i w:val="0"/>
                <w:color w:val="34424C"/>
                <w:sz w:val="19"/>
              </w:rPr>
              <w:t>Intro to Environmental &amp; Development Economics for Engineers (1 cr)</w:t>
            </w:r>
          </w:p>
          <w:p>
            <w:pPr>
              <w:spacing w:after="60" w:line="276" w:lineRule="auto"/>
              <w:ind w:left="72"/>
            </w:pPr>
            <w:r>
              <w:rPr>
                <w:rFonts w:ascii="Consolas" w:hAnsi="Consolas" w:cs="Consolas"/>
                <w:b/>
                <w:i w:val="0"/>
                <w:color w:val="15234A"/>
                <w:sz w:val="19"/>
              </w:rPr>
              <w:t xml:space="preserve">CVEN 5129   </w:t>
            </w:r>
            <w:r>
              <w:rPr>
                <w:rFonts w:ascii="Calibri" w:hAnsi="Calibri" w:cs="Calibri"/>
                <w:b w:val="0"/>
                <w:i w:val="0"/>
                <w:color w:val="34424C"/>
                <w:sz w:val="19"/>
              </w:rPr>
              <w:t>Program &amp; Project Management (1 cr)</w:t>
            </w:r>
          </w:p>
          <w:p>
            <w:pPr>
              <w:spacing w:after="60" w:line="276" w:lineRule="auto"/>
              <w:ind w:left="72"/>
            </w:pPr>
            <w:r>
              <w:rPr>
                <w:rFonts w:ascii="Consolas" w:hAnsi="Consolas" w:cs="Consolas"/>
                <w:b/>
                <w:i w:val="0"/>
                <w:color w:val="15234A"/>
                <w:sz w:val="19"/>
              </w:rPr>
              <w:t xml:space="preserve">EVEN 5989   </w:t>
            </w:r>
            <w:r>
              <w:rPr>
                <w:rFonts w:ascii="Calibri" w:hAnsi="Calibri" w:cs="Calibri"/>
                <w:b w:val="0"/>
                <w:i w:val="0"/>
                <w:color w:val="34424C"/>
                <w:sz w:val="19"/>
              </w:rPr>
              <w:t>Disaster Risk Reduction (1 cr)</w:t>
            </w:r>
          </w:p>
          <w:p>
            <w:pPr>
              <w:spacing w:after="60" w:line="276" w:lineRule="auto"/>
              <w:ind w:left="72"/>
            </w:pPr>
            <w:r>
              <w:rPr>
                <w:rFonts w:ascii="Consolas" w:hAnsi="Consolas" w:cs="Consolas"/>
                <w:b/>
                <w:i w:val="0"/>
                <w:color w:val="15234A"/>
                <w:sz w:val="19"/>
              </w:rPr>
              <w:t xml:space="preserve">CVEN 5959   </w:t>
            </w:r>
            <w:r>
              <w:rPr>
                <w:rFonts w:ascii="Calibri" w:hAnsi="Calibri" w:cs="Calibri"/>
                <w:b w:val="0"/>
                <w:i w:val="0"/>
                <w:color w:val="34424C"/>
                <w:sz w:val="19"/>
              </w:rPr>
              <w:t>International Environmental Impact Assessment</w:t>
            </w:r>
          </w:p>
        </w:tc>
      </w:tr>
      <w:tr>
        <w:tc>
          <w:tcPr>
            <w:tcW w:type="dxa" w:w="9360"/>
            <w:tcMar>
              <w:top w:w="70" w:type="dxa"/>
              <w:bottom w:w="70" w:type="dxa"/>
              <w:start w:w="120" w:type="dxa"/>
              <w:end w:w="120" w:type="dxa"/>
            </w:tcMar>
          </w:tcPr>
          <w:p>
            <w:pPr>
              <w:spacing w:after="80"/>
            </w:pPr>
            <w:r>
              <w:rPr>
                <w:rFonts w:ascii="Consolas" w:hAnsi="Consolas" w:cs="Consolas"/>
                <w:b/>
                <w:i w:val="0"/>
                <w:color w:val="A8884A"/>
                <w:sz w:val="22"/>
              </w:rPr>
              <w:t xml:space="preserve">D   </w:t>
            </w:r>
            <w:r>
              <w:rPr>
                <w:rFonts w:ascii="Georgia" w:hAnsi="Georgia" w:cs="Georgia"/>
                <w:b w:val="0"/>
                <w:i w:val="0"/>
                <w:color w:val="0A1822"/>
                <w:sz w:val="26"/>
              </w:rPr>
              <w:t xml:space="preserve">UNU seminar series   </w:t>
            </w:r>
            <w:r>
              <w:rPr>
                <w:rFonts w:ascii="Consolas" w:hAnsi="Consolas" w:cs="Consolas"/>
                <w:b w:val="0"/>
                <w:i w:val="0"/>
                <w:color w:val="0B6FA8"/>
                <w:sz w:val="18"/>
              </w:rPr>
              <w:t>required · 1–3 cr</w:t>
            </w:r>
          </w:p>
          <w:p>
            <w:pPr>
              <w:spacing w:after="60" w:line="276" w:lineRule="auto"/>
              <w:ind w:left="72"/>
            </w:pPr>
            <w:r>
              <w:rPr>
                <w:rFonts w:ascii="Consolas" w:hAnsi="Consolas" w:cs="Consolas"/>
                <w:b/>
                <w:i w:val="0"/>
                <w:color w:val="15234A"/>
                <w:sz w:val="19"/>
              </w:rPr>
              <w:t xml:space="preserve">new · CVEN/EVEN   </w:t>
            </w:r>
            <w:r>
              <w:rPr>
                <w:rFonts w:ascii="Calibri" w:hAnsi="Calibri" w:cs="Calibri"/>
                <w:b w:val="0"/>
                <w:i w:val="0"/>
                <w:color w:val="34424C"/>
                <w:sz w:val="19"/>
              </w:rPr>
              <w:t>Co-hosted seminar featuring UN &amp; UNU scientists, registered as a special-topics / professional-seminar credit</w:t>
            </w:r>
          </w:p>
        </w:tc>
      </w:tr>
      <w:tr>
        <w:tc>
          <w:tcPr>
            <w:tcW w:type="dxa" w:w="9360"/>
            <w:tcMar>
              <w:top w:w="70" w:type="dxa"/>
              <w:bottom w:w="70" w:type="dxa"/>
              <w:start w:w="120" w:type="dxa"/>
              <w:end w:w="120" w:type="dxa"/>
            </w:tcMar>
          </w:tcPr>
          <w:p>
            <w:pPr>
              <w:spacing w:after="80"/>
            </w:pPr>
            <w:r>
              <w:rPr>
                <w:rFonts w:ascii="Consolas" w:hAnsi="Consolas" w:cs="Consolas"/>
                <w:b/>
                <w:i w:val="0"/>
                <w:color w:val="A8884A"/>
                <w:sz w:val="22"/>
              </w:rPr>
              <w:t xml:space="preserve">E   </w:t>
            </w:r>
            <w:r>
              <w:rPr>
                <w:rFonts w:ascii="Georgia" w:hAnsi="Georgia" w:cs="Georgia"/>
                <w:b w:val="0"/>
                <w:i w:val="0"/>
                <w:color w:val="0A1822"/>
                <w:sz w:val="26"/>
              </w:rPr>
              <w:t xml:space="preserve">Applied research &amp; practicum   </w:t>
            </w:r>
            <w:r>
              <w:rPr>
                <w:rFonts w:ascii="Consolas" w:hAnsi="Consolas" w:cs="Consolas"/>
                <w:b w:val="0"/>
                <w:i w:val="0"/>
                <w:color w:val="0B6FA8"/>
                <w:sz w:val="18"/>
              </w:rPr>
              <w:t>required · 3–6 cr</w:t>
            </w:r>
          </w:p>
          <w:p>
            <w:pPr>
              <w:spacing w:after="60" w:line="276" w:lineRule="auto"/>
              <w:ind w:left="72"/>
            </w:pPr>
            <w:r>
              <w:rPr>
                <w:rFonts w:ascii="Consolas" w:hAnsi="Consolas" w:cs="Consolas"/>
                <w:b/>
                <w:i w:val="0"/>
                <w:color w:val="15234A"/>
                <w:sz w:val="19"/>
              </w:rPr>
              <w:t xml:space="preserve">CVEN 5939   </w:t>
            </w:r>
            <w:r>
              <w:rPr>
                <w:rFonts w:ascii="Calibri" w:hAnsi="Calibri" w:cs="Calibri"/>
                <w:b w:val="0"/>
                <w:i w:val="0"/>
                <w:color w:val="34424C"/>
                <w:sz w:val="19"/>
              </w:rPr>
              <w:t>Global Engineering &amp; Hazard Resilience Practicum (3 cr) — placement at UNU-INWEH, a UNU Hub, or a UN agency</w:t>
            </w:r>
          </w:p>
          <w:p>
            <w:pPr>
              <w:spacing w:after="60" w:line="276" w:lineRule="auto"/>
              <w:ind w:left="72"/>
            </w:pPr>
            <w:r>
              <w:rPr>
                <w:rFonts w:ascii="Consolas" w:hAnsi="Consolas" w:cs="Consolas"/>
                <w:b/>
                <w:i w:val="0"/>
                <w:color w:val="15234A"/>
                <w:sz w:val="19"/>
              </w:rPr>
              <w:t xml:space="preserve">MS Capstone / thesis   </w:t>
            </w:r>
            <w:r>
              <w:rPr>
                <w:rFonts w:ascii="Calibri" w:hAnsi="Calibri" w:cs="Calibri"/>
                <w:b w:val="0"/>
                <w:i w:val="0"/>
                <w:color w:val="34424C"/>
                <w:sz w:val="19"/>
              </w:rPr>
              <w:t>Co-supervised by a UNU expert; deliverable = policy brief, journal article, or flagship-report contribution</w:t>
            </w:r>
          </w:p>
        </w:tc>
      </w:tr>
      <w:tr>
        <w:tc>
          <w:tcPr>
            <w:tcW w:type="dxa" w:w="9360"/>
            <w:tcMar>
              <w:top w:w="70" w:type="dxa"/>
              <w:bottom w:w="70" w:type="dxa"/>
              <w:start w:w="120" w:type="dxa"/>
              <w:end w:w="120" w:type="dxa"/>
            </w:tcMar>
          </w:tcPr>
          <w:p>
            <w:pPr>
              <w:spacing w:after="80"/>
            </w:pPr>
            <w:r>
              <w:rPr>
                <w:rFonts w:ascii="Consolas" w:hAnsi="Consolas" w:cs="Consolas"/>
                <w:b/>
                <w:i w:val="0"/>
                <w:color w:val="A8884A"/>
                <w:sz w:val="22"/>
              </w:rPr>
              <w:t xml:space="preserve">F   </w:t>
            </w:r>
            <w:r>
              <w:rPr>
                <w:rFonts w:ascii="Georgia" w:hAnsi="Georgia" w:cs="Georgia"/>
                <w:b w:val="0"/>
                <w:i w:val="0"/>
                <w:color w:val="0A1822"/>
                <w:sz w:val="26"/>
              </w:rPr>
              <w:t xml:space="preserve">UNU-INWEH Online Learning Centre   </w:t>
            </w:r>
            <w:r>
              <w:rPr>
                <w:rFonts w:ascii="Consolas" w:hAnsi="Consolas" w:cs="Consolas"/>
                <w:b w:val="0"/>
                <w:i w:val="0"/>
                <w:color w:val="0B6FA8"/>
                <w:sz w:val="18"/>
              </w:rPr>
              <w:t>select per focus · free / co-curricular</w:t>
            </w:r>
          </w:p>
          <w:p>
            <w:pPr>
              <w:spacing w:after="60" w:line="276" w:lineRule="auto"/>
              <w:ind w:left="72"/>
            </w:pPr>
            <w:r>
              <w:rPr>
                <w:rFonts w:ascii="Consolas" w:hAnsi="Consolas" w:cs="Consolas"/>
                <w:b/>
                <w:i w:val="0"/>
                <w:color w:val="15234A"/>
                <w:sz w:val="19"/>
              </w:rPr>
              <w:t xml:space="preserve">Monitoring · SDG 6   </w:t>
            </w:r>
            <w:r>
              <w:rPr>
                <w:rFonts w:ascii="Calibri" w:hAnsi="Calibri" w:cs="Calibri"/>
                <w:b w:val="0"/>
                <w:i w:val="0"/>
                <w:color w:val="34424C"/>
                <w:sz w:val="19"/>
              </w:rPr>
              <w:t>INWEH-03 SDG 6 Policy Support System · INWEH-01 Global Water Security</w:t>
            </w:r>
          </w:p>
          <w:p>
            <w:pPr>
              <w:spacing w:after="60" w:line="276" w:lineRule="auto"/>
              <w:ind w:left="72"/>
            </w:pPr>
            <w:r>
              <w:rPr>
                <w:rFonts w:ascii="Consolas" w:hAnsi="Consolas" w:cs="Consolas"/>
                <w:b/>
                <w:i w:val="0"/>
                <w:color w:val="15234A"/>
                <w:sz w:val="19"/>
              </w:rPr>
              <w:t xml:space="preserve">Data &amp; geospatial   </w:t>
            </w:r>
            <w:r>
              <w:rPr>
                <w:rFonts w:ascii="Calibri" w:hAnsi="Calibri" w:cs="Calibri"/>
                <w:b w:val="0"/>
                <w:i w:val="0"/>
                <w:color w:val="34424C"/>
                <w:sz w:val="19"/>
              </w:rPr>
              <w:t>INWEH-02 Big Data Analysis for Water-related Applications · INWEH-16 Satellite Data for Surface-Water / Flood Mapping · INWEH-19 Spatial Data Management with Google Earth Engine · INWEH-17 Spatiotemporal Drought Assessment (GEE)</w:t>
            </w:r>
          </w:p>
          <w:p>
            <w:pPr>
              <w:spacing w:after="60" w:line="276" w:lineRule="auto"/>
              <w:ind w:left="72"/>
            </w:pPr>
            <w:r>
              <w:rPr>
                <w:rFonts w:ascii="Consolas" w:hAnsi="Consolas" w:cs="Consolas"/>
                <w:b/>
                <w:i w:val="0"/>
                <w:color w:val="15234A"/>
                <w:sz w:val="19"/>
              </w:rPr>
              <w:t xml:space="preserve">Water · env · health   </w:t>
            </w:r>
            <w:r>
              <w:rPr>
                <w:rFonts w:ascii="Calibri" w:hAnsi="Calibri" w:cs="Calibri"/>
                <w:b w:val="0"/>
                <w:i w:val="0"/>
                <w:color w:val="34424C"/>
                <w:sz w:val="19"/>
              </w:rPr>
              <w:t>INWEH-26 Water and Health · INWEH-15 WASH in Healthcare Facilities · INWEH-07 Mangroves Biodiversity &amp; Ecosystem · INWEH-11 Integrated Water Resource Management</w:t>
            </w:r>
          </w:p>
        </w:tc>
      </w:tr>
    </w:tbl>
    <w:p>
      <w:pPr>
        <w:spacing w:after="160" w:before="0"/>
      </w:pPr>
      <w:r>
        <w:rPr>
          <w:rFonts w:ascii="Calibri" w:hAnsi="Calibri" w:cs="Calibri"/>
          <w:b w:val="0"/>
          <w:i w:val="0"/>
          <w:color w:val="54636E"/>
          <w:sz w:val="18"/>
        </w:rPr>
        <w:t>Course codes and credits per the CU Boulder and UNU-INWEH catalogs (June 2026); the UNU Online Learning Centre is free and self-paced. UN Staff College, FAO, UNEP, and UNDRR e-learning may substitute for Component F where relevant.</w:t>
      </w:r>
    </w:p>
    <w:p>
      <w:pPr>
        <w:spacing w:after="120" w:before="280"/>
      </w:pPr>
      <w:r>
        <w:rPr>
          <w:rFonts w:ascii="Consolas" w:hAnsi="Consolas" w:cs="Consolas"/>
          <w:b/>
          <w:i w:val="0"/>
          <w:color w:val="A8884A"/>
          <w:sz w:val="22"/>
        </w:rPr>
        <w:t xml:space="preserve">A.3   </w:t>
      </w:r>
      <w:r>
        <w:rPr>
          <w:rFonts w:ascii="Georgia" w:hAnsi="Georgia" w:cs="Georgia"/>
          <w:b w:val="0"/>
          <w:i w:val="0"/>
          <w:color w:val="0A1822"/>
          <w:sz w:val="34"/>
        </w:rPr>
        <w:t>Implementation Plan and Timeline</w:t>
      </w:r>
    </w:p>
    <w:p>
      <w:pPr>
        <w:spacing w:after="180" w:before="0"/>
      </w:pPr>
      <w:r>
        <w:rPr>
          <w:rFonts w:ascii="Calibri" w:hAnsi="Calibri" w:cs="Calibri"/>
          <w:b w:val="0"/>
          <w:i w:val="0"/>
          <w:color w:val="26333C"/>
          <w:sz w:val="21"/>
        </w:rPr>
        <w:t>The joint program can be implemented through the existing CU Boulder graduate framework, following the timeline below:</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Fall 2026: </w:t>
      </w:r>
      <w:r>
        <w:rPr>
          <w:rFonts w:ascii="Calibri" w:hAnsi="Calibri" w:cs="Calibri"/>
          <w:b w:val="0"/>
          <w:i w:val="0"/>
          <w:color w:val="26333C"/>
          <w:sz w:val="21"/>
        </w:rPr>
        <w:t>Finalize the program structure, faculty collaborations, the UNU diploma definition, and the necessary UNU approvals.</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Spring 2027: </w:t>
      </w:r>
      <w:r>
        <w:rPr>
          <w:rFonts w:ascii="Calibri" w:hAnsi="Calibri" w:cs="Calibri"/>
          <w:b w:val="0"/>
          <w:i w:val="0"/>
          <w:color w:val="26333C"/>
          <w:sz w:val="21"/>
        </w:rPr>
        <w:t>Program promotion, recruitment and outreach, and student selection and admission into the inaugural cohort.</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 xml:space="preserve">Fall 2027: </w:t>
      </w:r>
      <w:r>
        <w:rPr>
          <w:rFonts w:ascii="Calibri" w:hAnsi="Calibri" w:cs="Calibri"/>
          <w:b w:val="0"/>
          <w:i w:val="0"/>
          <w:color w:val="26333C"/>
          <w:sz w:val="21"/>
        </w:rPr>
        <w:t>Official launch of the joint program with the inaugural cohort.</w:t>
      </w:r>
    </w:p>
    <w:p>
      <w:pPr>
        <w:spacing w:after="120" w:before="280"/>
      </w:pPr>
      <w:r>
        <w:rPr>
          <w:rFonts w:ascii="Consolas" w:hAnsi="Consolas" w:cs="Consolas"/>
          <w:b/>
          <w:i w:val="0"/>
          <w:color w:val="A8884A"/>
          <w:sz w:val="22"/>
        </w:rPr>
        <w:t xml:space="preserve">A.4   </w:t>
      </w:r>
      <w:r>
        <w:rPr>
          <w:rFonts w:ascii="Georgia" w:hAnsi="Georgia" w:cs="Georgia"/>
          <w:b w:val="0"/>
          <w:i w:val="0"/>
          <w:color w:val="0A1822"/>
          <w:sz w:val="34"/>
        </w:rPr>
        <w:t>Impact and Benefits for Students</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Joint credential advantage:</w:t>
      </w:r>
      <w:r>
        <w:rPr>
          <w:rFonts w:ascii="Calibri" w:hAnsi="Calibri" w:cs="Calibri"/>
          <w:b w:val="0"/>
          <w:i w:val="0"/>
          <w:color w:val="26333C"/>
          <w:sz w:val="21"/>
        </w:rPr>
        <w:t xml:space="preserve"> earn a CU Boulder graduate degree and a UNU-certified diploma in Monitoring, Accountability &amp; Outcomes-Based Finance for Water, Environment &amp; Health, enhancing career and academic prospects.</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Global exposure and networking:</w:t>
      </w:r>
      <w:r>
        <w:rPr>
          <w:rFonts w:ascii="Calibri" w:hAnsi="Calibri" w:cs="Calibri"/>
          <w:b w:val="0"/>
          <w:i w:val="0"/>
          <w:color w:val="26333C"/>
          <w:sz w:val="21"/>
        </w:rPr>
        <w:t xml:space="preserve"> participate in the UNU seminar series with leading international experts and access UNU's global research network.</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Specialized, interdisciplinary learning:</w:t>
      </w:r>
      <w:r>
        <w:rPr>
          <w:rFonts w:ascii="Calibri" w:hAnsi="Calibri" w:cs="Calibri"/>
          <w:b w:val="0"/>
          <w:i w:val="0"/>
          <w:color w:val="26333C"/>
          <w:sz w:val="21"/>
        </w:rPr>
        <w:t xml:space="preserve"> gain expertise in environmental sensing, dMRV, and outcomes-based and climate finance across water, environment, and health.</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Hands-on research and practical training:</w:t>
      </w:r>
      <w:r>
        <w:rPr>
          <w:rFonts w:ascii="Calibri" w:hAnsi="Calibri" w:cs="Calibri"/>
          <w:b w:val="0"/>
          <w:i w:val="0"/>
          <w:color w:val="26333C"/>
          <w:sz w:val="21"/>
        </w:rPr>
        <w:t xml:space="preserve"> conduct a UNU-aligned thesis or project, co-supervised by Mortenson and UNU scientists, with real-world applications.</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Expanded career opportunities:</w:t>
      </w:r>
      <w:r>
        <w:rPr>
          <w:rFonts w:ascii="Calibri" w:hAnsi="Calibri" w:cs="Calibri"/>
          <w:b w:val="0"/>
          <w:i w:val="0"/>
          <w:color w:val="26333C"/>
          <w:sz w:val="21"/>
        </w:rPr>
        <w:t xml:space="preserve"> increase employability in international organizations, UN agencies, research institutions, and outcomes-based-finance ventures.</w:t>
      </w:r>
    </w:p>
    <w:p>
      <w:pPr>
        <w:spacing w:after="120" w:before="0"/>
        <w:ind w:left="374" w:hanging="288"/>
      </w:pPr>
      <w:r>
        <w:rPr>
          <w:rFonts w:ascii="Calibri" w:hAnsi="Calibri" w:cs="Calibri"/>
          <w:b w:val="0"/>
          <w:i w:val="0"/>
          <w:color w:val="A8884A"/>
          <w:sz w:val="16"/>
        </w:rPr>
        <w:t xml:space="preserve">▪  </w:t>
      </w:r>
      <w:r>
        <w:rPr>
          <w:rFonts w:ascii="Calibri" w:hAnsi="Calibri" w:cs="Calibri"/>
          <w:b/>
          <w:i w:val="0"/>
          <w:color w:val="26333C"/>
          <w:sz w:val="21"/>
        </w:rPr>
        <w:t>Minimal additional coursework:</w:t>
      </w:r>
      <w:r>
        <w:rPr>
          <w:rFonts w:ascii="Calibri" w:hAnsi="Calibri" w:cs="Calibri"/>
          <w:b w:val="0"/>
          <w:i w:val="0"/>
          <w:color w:val="26333C"/>
          <w:sz w:val="21"/>
        </w:rPr>
        <w:t xml:space="preserve"> the program builds on existing degree requirements, allowing students to earn the UNU diploma with little added load.</w:t>
      </w:r>
    </w:p>
    <w:p>
      <w:pPr>
        <w:spacing w:after="0" w:before="320"/>
        <w:pBdr>
          <w:top w:val="single" w:sz="8" w:space="6" w:color="0A1822"/>
        </w:pBdr>
      </w:pPr>
      <w:r>
        <w:rPr>
          <w:rFonts w:ascii="Calibri" w:hAnsi="Calibri" w:cs="Calibri"/>
          <w:b w:val="0"/>
          <w:i w:val="0"/>
          <w:color w:val="54636E"/>
          <w:sz w:val="17"/>
        </w:rPr>
        <w:t>Draft partnership framework (memorandum of understanding) for discussion. The education component is modeled on the UNU-CCNY Joint Education Programs; final configuration subject to UNU approval.</w:t>
      </w:r>
    </w:p>
    <w:sectPr w:rsidR="00FC693F" w:rsidRPr="0006063C" w:rsidSect="00034616">
      <w:pgSz w:w="12240" w:h="15840"/>
      <w:pgMar w:top="1152"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07" w:lineRule="auto"/>
    </w:pPr>
    <w:rPr>
      <w:rFonts w:ascii="Calibri" w:hAnsi="Calibri"/>
      <w:color w:val="26333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